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le"/>
        <w:rPr/>
      </w:pPr>
      <w:bookmarkStart w:id="0" w:name="_GoBack"/>
      <w:bookmarkEnd w:id="0"/>
      <w:r>
        <w:rPr>
          <w:rFonts w:asciiTheme="majorHAnsi" w:cstheme="majorBidi" w:eastAsiaTheme="majorEastAsia" w:hAnsiTheme="majorHAnsi"/>
          <w:color w:themeColor="text2" w:themeShade="bf"/>
        </w:rPr>
        <w:t xml:space="preserve">       </w:t>
      </w:r>
      <w:r>
        <w:rPr>
          <w:highlight w:val="lightGray"/>
        </w:rPr>
        <w:t>Výzva na predloženie cenovej ponuky</w:t>
      </w:r>
    </w:p>
    <w:p>
      <w:pPr>
        <w:pStyle w:val="BodyText2"/>
        <w:spacing w:lineRule="auto" w:line="276"/>
        <w:jc w:val="center"/>
        <w:rPr>
          <w:b/>
          <w:b/>
        </w:rPr>
      </w:pPr>
      <w:r>
        <w:rPr>
          <w:b/>
        </w:rPr>
      </w:r>
    </w:p>
    <w:p>
      <w:pPr>
        <w:pStyle w:val="Heading2"/>
        <w:ind w:left="275" w:right="204" w:firstLine="6"/>
        <w:rPr>
          <w:rFonts w:ascii="Times New Roman" w:hAnsi="Times New Roman" w:eastAsia="Times New Roman" w:cs="" w:cstheme="minorBidi"/>
          <w:bCs w:val="false"/>
          <w:color w:val="00000A"/>
          <w:sz w:val="24"/>
          <w:szCs w:val="22"/>
          <w:lang w:val="en-US" w:eastAsia="en-US"/>
        </w:rPr>
      </w:pPr>
      <w:r>
        <w:rPr>
          <w:rFonts w:eastAsia="Times New Roman" w:cs="" w:ascii="Times New Roman" w:hAnsi="Times New Roman" w:cstheme="minorBidi"/>
          <w:bCs w:val="false"/>
          <w:color w:val="00000A"/>
          <w:sz w:val="24"/>
          <w:szCs w:val="22"/>
          <w:lang w:val="en-US" w:eastAsia="en-US"/>
        </w:rPr>
        <w:t>Zákazka na uskutočnenie stavebných prác v zmysle Zákona 343/2015 Z.z. o verejnom obstarávaní a o zmene a doplnení niektorých zákonov pre osoby spadajúce pod § 8 odsek 3 zákona č. 343/2015 Z. z. o verejnom obstarávaní a o zmene a doplnení niektorých zákonov v znení neskorších predpisov a podľa Usmernenia Pôdohospodárskej platobnej agentúry č.8/2017 k obstarávaniu tovarov , stavebných prác a služieb financovaných z  PRV  2014-2020 , Aktualizácia č.2</w:t>
      </w:r>
      <w:bookmarkStart w:id="1" w:name="_Hlk32935405"/>
      <w:bookmarkEnd w:id="1"/>
    </w:p>
    <w:p>
      <w:pPr>
        <w:pStyle w:val="TextBody"/>
        <w:spacing w:before="10" w:after="120"/>
        <w:rPr>
          <w:rFonts w:cs="" w:cstheme="minorBidi"/>
          <w:b/>
          <w:b/>
          <w:szCs w:val="22"/>
          <w:lang w:val="en-US" w:eastAsia="en-US"/>
        </w:rPr>
      </w:pPr>
      <w:r>
        <w:rPr>
          <w:rFonts w:cs="" w:cstheme="minorBidi"/>
          <w:b/>
          <w:szCs w:val="22"/>
          <w:lang w:val="en-US" w:eastAsia="en-US"/>
        </w:rPr>
      </w:r>
    </w:p>
    <w:p>
      <w:pPr>
        <w:pStyle w:val="Normal"/>
        <w:jc w:val="both"/>
        <w:rPr/>
      </w:pPr>
      <w:r>
        <w:rPr>
          <w:rFonts w:cs="" w:cstheme="minorBidi"/>
          <w:szCs w:val="22"/>
          <w:lang w:val="en-US" w:eastAsia="en-US"/>
        </w:rPr>
        <w:t xml:space="preserve">                                „ </w:t>
      </w:r>
      <w:r>
        <w:rPr>
          <w:b/>
          <w:bCs/>
        </w:rPr>
        <w:t>Biotechnické opatrenia na toku Belinec v Kráľovej Lehote“</w:t>
      </w:r>
    </w:p>
    <w:p>
      <w:pPr>
        <w:pStyle w:val="Normal"/>
        <w:jc w:val="both"/>
        <w:rPr>
          <w:b/>
          <w:b/>
        </w:rPr>
      </w:pPr>
      <w:r>
        <w:rPr>
          <w:b/>
        </w:rPr>
      </w:r>
    </w:p>
    <w:p>
      <w:pPr>
        <w:pStyle w:val="Heading3"/>
        <w:spacing w:before="1" w:after="0"/>
        <w:rPr>
          <w:rFonts w:ascii="Times New Roman" w:hAnsi="Times New Roman" w:eastAsia="Times New Roman" w:cs="" w:cstheme="minorBidi"/>
          <w:bCs w:val="false"/>
          <w:color w:val="00000A"/>
          <w:szCs w:val="22"/>
          <w:lang w:val="en-US" w:eastAsia="en-US"/>
        </w:rPr>
      </w:pPr>
      <w:r>
        <w:rPr>
          <w:rFonts w:eastAsia="Times New Roman" w:cs="" w:ascii="Times New Roman" w:hAnsi="Times New Roman" w:cstheme="minorBidi"/>
          <w:bCs w:val="false"/>
          <w:color w:val="00000A"/>
          <w:szCs w:val="22"/>
          <w:lang w:val="en-US" w:eastAsia="en-US"/>
        </w:rPr>
        <w:t xml:space="preserve"> “</w:t>
      </w:r>
    </w:p>
    <w:tbl>
      <w:tblPr>
        <w:tblStyle w:val="TableNormal"/>
        <w:tblW w:w="9622" w:type="dxa"/>
        <w:jc w:val="left"/>
        <w:tblInd w:w="23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622"/>
      </w:tblGrid>
      <w:tr>
        <w:trPr>
          <w:trHeight w:val="286" w:hRule="exact"/>
        </w:trPr>
        <w:tc>
          <w:tcPr>
            <w:tcW w:w="96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EDEBE0" w:val="clear"/>
          </w:tcPr>
          <w:p>
            <w:pPr>
              <w:pStyle w:val="TableParagraph"/>
              <w:widowControl w:val="false"/>
              <w:spacing w:lineRule="exact" w:line="273"/>
              <w:ind w:left="104" w:hanging="0"/>
              <w:rPr>
                <w:b/>
                <w:b/>
                <w:sz w:val="24"/>
              </w:rPr>
            </w:pPr>
            <w:r>
              <w:rPr>
                <w:rFonts w:eastAsia="Calibri" w:cs="" w:cstheme="minorBidi" w:eastAsiaTheme="minorHAnsi" w:ascii="Calibri" w:hAnsi="Calibri"/>
                <w:b/>
                <w:sz w:val="24"/>
                <w:lang w:val="en-US" w:eastAsia="en-US"/>
              </w:rPr>
              <w:t>1. Identifikačné údaje Vyhlasovateľa</w:t>
            </w:r>
          </w:p>
        </w:tc>
      </w:tr>
    </w:tbl>
    <w:p>
      <w:pPr>
        <w:pStyle w:val="TextBody"/>
        <w:rPr>
          <w:b/>
          <w:b/>
          <w:i/>
          <w:i/>
        </w:rPr>
      </w:pPr>
      <w:r>
        <w:rPr>
          <w:b/>
          <w:i/>
        </w:rPr>
      </w:r>
    </w:p>
    <w:tbl>
      <w:tblPr>
        <w:tblStyle w:val="TableNormal"/>
        <w:tblW w:w="9631" w:type="dxa"/>
        <w:jc w:val="left"/>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4842"/>
        <w:gridCol w:w="4788"/>
      </w:tblGrid>
      <w:tr>
        <w:trPr>
          <w:trHeight w:val="562" w:hRule="exact"/>
        </w:trPr>
        <w:tc>
          <w:tcPr>
            <w:tcW w:w="963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268"/>
              <w:rPr>
                <w:sz w:val="24"/>
              </w:rPr>
            </w:pPr>
            <w:r>
              <w:rPr>
                <w:rFonts w:eastAsia="Calibri" w:cs="" w:cstheme="minorBidi" w:eastAsiaTheme="minorHAnsi" w:ascii="Calibri" w:hAnsi="Calibri"/>
                <w:sz w:val="24"/>
                <w:lang w:val="en-US" w:eastAsia="en-US"/>
              </w:rPr>
              <w:t>Názov:</w:t>
            </w:r>
          </w:p>
          <w:p>
            <w:pPr>
              <w:pStyle w:val="TableParagraph"/>
              <w:widowControl w:val="false"/>
              <w:rPr>
                <w:sz w:val="24"/>
              </w:rPr>
            </w:pPr>
            <w:r>
              <w:rPr>
                <w:rFonts w:eastAsia="Calibri" w:cs="" w:cstheme="minorBidi" w:eastAsiaTheme="minorHAnsi" w:ascii="Calibri" w:hAnsi="Calibri"/>
                <w:sz w:val="24"/>
                <w:lang w:val="en-US" w:eastAsia="en-US"/>
              </w:rPr>
              <w:t>AGRO-SILVA,s.r.o.</w:t>
            </w:r>
          </w:p>
        </w:tc>
      </w:tr>
      <w:tr>
        <w:trPr>
          <w:trHeight w:val="565" w:hRule="exact"/>
        </w:trPr>
        <w:tc>
          <w:tcPr>
            <w:tcW w:w="963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270"/>
              <w:rPr>
                <w:sz w:val="24"/>
              </w:rPr>
            </w:pPr>
            <w:r>
              <w:rPr>
                <w:rFonts w:eastAsia="Calibri" w:cs="" w:cstheme="minorBidi" w:eastAsiaTheme="minorHAnsi" w:ascii="Calibri" w:hAnsi="Calibri"/>
                <w:sz w:val="24"/>
                <w:lang w:val="en-US" w:eastAsia="en-US"/>
              </w:rPr>
              <w:t>Adresa:</w:t>
            </w:r>
          </w:p>
          <w:p>
            <w:pPr>
              <w:pStyle w:val="TableParagraph"/>
              <w:widowControl w:val="false"/>
              <w:rPr>
                <w:sz w:val="24"/>
              </w:rPr>
            </w:pPr>
            <w:r>
              <w:rPr>
                <w:rFonts w:eastAsia="Calibri" w:cs="" w:cstheme="minorBidi" w:eastAsiaTheme="minorHAnsi" w:ascii="Calibri" w:hAnsi="Calibri"/>
                <w:sz w:val="24"/>
                <w:lang w:val="en-US" w:eastAsia="en-US"/>
              </w:rPr>
              <w:t>Okoličianska 741/65 031 04 Liptovský Mikuláš</w:t>
            </w:r>
          </w:p>
        </w:tc>
      </w:tr>
      <w:tr>
        <w:trPr>
          <w:trHeight w:val="562" w:hRule="exact"/>
        </w:trPr>
        <w:tc>
          <w:tcPr>
            <w:tcW w:w="963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268"/>
              <w:rPr>
                <w:sz w:val="24"/>
              </w:rPr>
            </w:pPr>
            <w:r>
              <w:rPr>
                <w:rFonts w:eastAsia="Calibri" w:cs="" w:cstheme="minorBidi" w:eastAsiaTheme="minorHAnsi" w:ascii="Calibri" w:hAnsi="Calibri"/>
                <w:sz w:val="24"/>
                <w:lang w:val="en-US" w:eastAsia="en-US"/>
              </w:rPr>
              <w:t xml:space="preserve">IČO:  </w:t>
            </w:r>
          </w:p>
          <w:p>
            <w:pPr>
              <w:pStyle w:val="TableParagraph"/>
              <w:widowControl w:val="false"/>
              <w:rPr>
                <w:sz w:val="24"/>
              </w:rPr>
            </w:pPr>
            <w:r>
              <w:rPr>
                <w:rFonts w:eastAsia="Calibri" w:cs="" w:cstheme="minorBidi" w:eastAsiaTheme="minorHAnsi" w:ascii="Calibri" w:hAnsi="Calibri"/>
                <w:sz w:val="24"/>
                <w:lang w:val="en-US" w:eastAsia="en-US"/>
              </w:rPr>
              <w:t>47 586 451</w:t>
            </w:r>
          </w:p>
        </w:tc>
      </w:tr>
      <w:tr>
        <w:trPr>
          <w:trHeight w:val="562" w:hRule="exact"/>
        </w:trPr>
        <w:tc>
          <w:tcPr>
            <w:tcW w:w="4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ind w:left="105" w:right="602" w:hanging="0"/>
              <w:rPr>
                <w:sz w:val="24"/>
              </w:rPr>
            </w:pPr>
            <w:r>
              <w:rPr>
                <w:rFonts w:eastAsia="Calibri" w:cs="" w:cstheme="minorBidi" w:eastAsiaTheme="minorHAnsi" w:ascii="Calibri" w:hAnsi="Calibri"/>
                <w:sz w:val="24"/>
                <w:lang w:val="en-US" w:eastAsia="en-US"/>
              </w:rPr>
              <w:t xml:space="preserve">Osoba oprávnená konať za Vyhlasovateľa: </w:t>
            </w:r>
          </w:p>
          <w:p>
            <w:pPr>
              <w:pStyle w:val="TableParagraph"/>
              <w:widowControl w:val="false"/>
              <w:ind w:left="105" w:right="602" w:hanging="0"/>
              <w:rPr>
                <w:sz w:val="24"/>
              </w:rPr>
            </w:pPr>
            <w:r>
              <w:rPr>
                <w:rFonts w:eastAsia="Calibri" w:cs="" w:cstheme="minorBidi" w:eastAsiaTheme="minorHAnsi" w:ascii="Calibri" w:hAnsi="Calibri"/>
                <w:sz w:val="24"/>
                <w:lang w:val="en-US" w:eastAsia="en-US"/>
              </w:rPr>
              <w:t>Bankové informácie :</w:t>
            </w:r>
          </w:p>
        </w:tc>
        <w:tc>
          <w:tcPr>
            <w:tcW w:w="47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rPr>
                <w:sz w:val="24"/>
              </w:rPr>
            </w:pPr>
            <w:r>
              <w:rPr>
                <w:rFonts w:eastAsia="Calibri" w:cs="" w:cstheme="minorBidi" w:eastAsiaTheme="minorHAnsi" w:ascii="Calibri" w:hAnsi="Calibri"/>
                <w:sz w:val="24"/>
                <w:lang w:val="en-US" w:eastAsia="en-US"/>
              </w:rPr>
              <w:t>František Čenka, konateľ</w:t>
            </w:r>
          </w:p>
          <w:p>
            <w:pPr>
              <w:pStyle w:val="TableParagraph"/>
              <w:widowControl w:val="false"/>
              <w:rPr>
                <w:sz w:val="24"/>
              </w:rPr>
            </w:pPr>
            <w:r>
              <w:rPr>
                <w:rFonts w:eastAsia="Calibri" w:cs="" w:cstheme="minorBidi" w:eastAsiaTheme="minorHAnsi" w:ascii="Calibri" w:hAnsi="Calibri"/>
                <w:sz w:val="24"/>
                <w:lang w:val="en-US" w:eastAsia="en-US"/>
              </w:rPr>
              <w:t>SK16 1100 0000 0029 4245 8356</w:t>
            </w:r>
          </w:p>
        </w:tc>
      </w:tr>
    </w:tbl>
    <w:p>
      <w:pPr>
        <w:pStyle w:val="TextBody"/>
        <w:rPr>
          <w:b/>
          <w:b/>
          <w:i/>
          <w:i/>
        </w:rPr>
      </w:pPr>
      <w:r>
        <w:rPr>
          <w:b/>
          <w:i/>
        </w:rPr>
      </w:r>
    </w:p>
    <w:p>
      <w:pPr>
        <w:pStyle w:val="TextBody"/>
        <w:rPr>
          <w:b/>
          <w:b/>
          <w:i/>
          <w:i/>
        </w:rPr>
      </w:pPr>
      <w:r>
        <w:rPr>
          <w:b/>
          <w:i/>
        </w:rPr>
      </w:r>
    </w:p>
    <w:tbl>
      <w:tblPr>
        <w:tblStyle w:val="TableNormal"/>
        <w:tblW w:w="9630" w:type="dxa"/>
        <w:jc w:val="left"/>
        <w:tblInd w:w="23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630"/>
      </w:tblGrid>
      <w:tr>
        <w:trPr>
          <w:trHeight w:val="286" w:hRule="exact"/>
        </w:trPr>
        <w:tc>
          <w:tcPr>
            <w:tcW w:w="96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EDEBE0" w:val="clear"/>
          </w:tcPr>
          <w:p>
            <w:pPr>
              <w:pStyle w:val="TableParagraph"/>
              <w:widowControl w:val="false"/>
              <w:spacing w:lineRule="exact" w:line="273"/>
              <w:ind w:left="104" w:hanging="0"/>
              <w:rPr>
                <w:b/>
                <w:b/>
                <w:sz w:val="24"/>
              </w:rPr>
            </w:pPr>
            <w:r>
              <w:rPr>
                <w:rFonts w:eastAsia="Calibri" w:cs="" w:cstheme="minorBidi" w:eastAsiaTheme="minorHAnsi" w:ascii="Calibri" w:hAnsi="Calibri"/>
                <w:b/>
                <w:sz w:val="24"/>
                <w:lang w:val="en-US" w:eastAsia="en-US"/>
              </w:rPr>
              <w:t>2. Označenie obstarávania</w:t>
            </w:r>
          </w:p>
        </w:tc>
      </w:tr>
    </w:tbl>
    <w:p>
      <w:pPr>
        <w:pStyle w:val="TextBody"/>
        <w:rPr>
          <w:b/>
          <w:b/>
          <w:i/>
          <w:i/>
        </w:rPr>
      </w:pPr>
      <w:r>
        <w:rPr>
          <w:b/>
          <w:i/>
        </w:rPr>
      </w:r>
    </w:p>
    <w:tbl>
      <w:tblPr>
        <w:tblStyle w:val="TableNormal"/>
        <w:tblW w:w="9691" w:type="dxa"/>
        <w:jc w:val="left"/>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691"/>
      </w:tblGrid>
      <w:tr>
        <w:trPr>
          <w:trHeight w:val="914" w:hRule="exact"/>
        </w:trPr>
        <w:tc>
          <w:tcPr>
            <w:tcW w:w="9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spacing w:lineRule="exact" w:line="270"/>
              <w:rPr>
                <w:sz w:val="24"/>
              </w:rPr>
            </w:pPr>
            <w:r>
              <w:rPr>
                <w:b/>
                <w:sz w:val="24"/>
              </w:rPr>
              <w:t>Názov predmetu zákazky</w:t>
            </w:r>
            <w:r>
              <w:rPr>
                <w:sz w:val="24"/>
              </w:rPr>
              <w:t>:</w:t>
            </w:r>
          </w:p>
          <w:p>
            <w:pPr>
              <w:pStyle w:val="Normal"/>
              <w:numPr>
                <w:ilvl w:val="0"/>
                <w:numId w:val="0"/>
              </w:numPr>
              <w:shd w:val="clear" w:color="auto" w:fill="FFFFFF"/>
              <w:jc w:val="center"/>
              <w:outlineLvl w:val="0"/>
              <w:rPr>
                <w:rFonts w:cs="Times New Roman"/>
                <w:b/>
                <w:b/>
                <w:bCs/>
                <w:kern w:val="2"/>
              </w:rPr>
            </w:pPr>
            <w:r>
              <w:rPr>
                <w:rFonts w:cs="Times New Roman"/>
                <w:b/>
                <w:bCs/>
                <w:kern w:val="2"/>
              </w:rPr>
              <w:t>„</w:t>
            </w:r>
            <w:r>
              <w:rPr>
                <w:b/>
                <w:bCs/>
              </w:rPr>
              <w:t xml:space="preserve"> </w:t>
            </w:r>
            <w:r>
              <w:rPr>
                <w:b/>
                <w:bCs/>
              </w:rPr>
              <w:t>Biotechnické opatrenia na toku Belinec v Kráľovej Lehote “</w:t>
            </w:r>
          </w:p>
          <w:p>
            <w:pPr>
              <w:pStyle w:val="Normal"/>
              <w:jc w:val="both"/>
              <w:rPr>
                <w:b/>
                <w:b/>
              </w:rPr>
            </w:pPr>
            <w:r>
              <w:rPr>
                <w:b/>
              </w:rPr>
            </w:r>
          </w:p>
          <w:p>
            <w:pPr>
              <w:pStyle w:val="Heading3"/>
              <w:numPr>
                <w:ilvl w:val="0"/>
                <w:numId w:val="0"/>
              </w:numPr>
              <w:spacing w:before="1" w:after="0"/>
              <w:outlineLvl w:val="2"/>
              <w:rPr>
                <w:rFonts w:ascii="Times New Roman" w:hAnsi="Times New Roman" w:eastAsia="Times New Roman" w:cs="" w:cstheme="minorBidi"/>
                <w:bCs w:val="false"/>
                <w:color w:val="00000A"/>
                <w:szCs w:val="22"/>
                <w:lang w:eastAsia="en-US"/>
              </w:rPr>
            </w:pPr>
            <w:r>
              <w:rPr>
                <w:rFonts w:eastAsia="Times New Roman" w:cs="" w:ascii="Times New Roman" w:hAnsi="Times New Roman" w:cstheme="minorBidi"/>
                <w:bCs w:val="false"/>
                <w:color w:val="00000A"/>
                <w:szCs w:val="22"/>
                <w:lang w:eastAsia="en-US"/>
              </w:rPr>
              <w:t xml:space="preserve"> “</w:t>
            </w:r>
          </w:p>
          <w:p>
            <w:pPr>
              <w:pStyle w:val="TableParagraph"/>
              <w:rPr>
                <w:sz w:val="24"/>
              </w:rPr>
            </w:pPr>
            <w:r>
              <w:rPr>
                <w:sz w:val="24"/>
              </w:rPr>
            </w:r>
          </w:p>
        </w:tc>
      </w:tr>
    </w:tbl>
    <w:p>
      <w:pPr>
        <w:pStyle w:val="TextBody"/>
        <w:rPr>
          <w:b/>
          <w:b/>
          <w:i/>
          <w:i/>
        </w:rPr>
      </w:pPr>
      <w:r>
        <w:rPr>
          <w:b/>
          <w:i/>
        </w:rPr>
      </w:r>
    </w:p>
    <w:tbl>
      <w:tblPr>
        <w:tblStyle w:val="TableNormal"/>
        <w:tblW w:w="9631" w:type="dxa"/>
        <w:jc w:val="left"/>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6297"/>
        <w:gridCol w:w="3333"/>
      </w:tblGrid>
      <w:tr>
        <w:trPr>
          <w:trHeight w:val="286" w:hRule="exact"/>
        </w:trPr>
        <w:tc>
          <w:tcPr>
            <w:tcW w:w="963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273"/>
              <w:rPr>
                <w:b/>
                <w:b/>
                <w:sz w:val="24"/>
              </w:rPr>
            </w:pPr>
            <w:r>
              <w:rPr>
                <w:rFonts w:eastAsia="Calibri" w:cs="" w:cstheme="minorBidi" w:eastAsiaTheme="minorHAnsi" w:ascii="Calibri" w:hAnsi="Calibri"/>
                <w:b/>
                <w:sz w:val="24"/>
                <w:lang w:val="en-US" w:eastAsia="en-US"/>
              </w:rPr>
              <w:t>Druh zákazky:</w:t>
            </w:r>
          </w:p>
        </w:tc>
      </w:tr>
      <w:tr>
        <w:trPr>
          <w:trHeight w:val="329" w:hRule="exact"/>
        </w:trPr>
        <w:tc>
          <w:tcPr>
            <w:tcW w:w="6297" w:type="dxa"/>
            <w:tcBorders>
              <w:top w:val="single" w:sz="4" w:space="0" w:color="000001"/>
              <w:left w:val="single" w:sz="4" w:space="0" w:color="000001"/>
              <w:bottom w:val="single" w:sz="4" w:space="0" w:color="000001"/>
              <w:insideH w:val="single" w:sz="4" w:space="0" w:color="000001"/>
            </w:tcBorders>
            <w:shd w:fill="auto" w:val="clear"/>
          </w:tcPr>
          <w:p>
            <w:pPr>
              <w:pStyle w:val="TableParagraph"/>
              <w:widowControl w:val="false"/>
              <w:spacing w:lineRule="exact" w:line="268"/>
              <w:rPr>
                <w:sz w:val="24"/>
              </w:rPr>
            </w:pPr>
            <w:r>
              <w:rPr>
                <w:rFonts w:eastAsia="Calibri" w:cs="" w:cstheme="minorBidi" w:eastAsiaTheme="minorHAnsi" w:ascii="Calibri" w:hAnsi="Calibri"/>
                <w:sz w:val="24"/>
                <w:lang w:val="en-US" w:eastAsia="en-US"/>
              </w:rPr>
              <w:t>Uskutočňovanie stavebných prác</w:t>
            </w:r>
          </w:p>
        </w:tc>
        <w:tc>
          <w:tcPr>
            <w:tcW w:w="3333" w:type="dxa"/>
            <w:tcBorders>
              <w:top w:val="single" w:sz="4" w:space="0" w:color="000001"/>
              <w:right w:val="single" w:sz="4" w:space="0" w:color="000001"/>
              <w:insideV w:val="single" w:sz="4" w:space="0" w:color="000001"/>
            </w:tcBorders>
            <w:shd w:fill="auto" w:val="clear"/>
          </w:tcPr>
          <w:p>
            <w:pPr>
              <w:pStyle w:val="TableParagraph"/>
              <w:widowControl w:val="false"/>
              <w:spacing w:lineRule="exact" w:line="317"/>
              <w:ind w:left="0" w:right="100" w:hanging="0"/>
              <w:jc w:val="right"/>
              <w:rPr>
                <w:rFonts w:ascii="Segoe UI Symbol" w:hAnsi="Segoe UI Symbol"/>
                <w:sz w:val="24"/>
              </w:rPr>
            </w:pPr>
            <w:r>
              <w:rPr>
                <w:rFonts w:eastAsia="Calibri" w:cs="" w:cstheme="minorBidi" w:eastAsiaTheme="minorHAnsi" w:ascii="Segoe UI Symbol" w:hAnsi="Segoe UI Symbol"/>
                <w:w w:val="99"/>
                <w:sz w:val="24"/>
                <w:lang w:val="en-US" w:eastAsia="en-US"/>
              </w:rPr>
              <w:t>☒</w:t>
            </w:r>
          </w:p>
        </w:tc>
      </w:tr>
      <w:tr>
        <w:trPr>
          <w:trHeight w:val="329" w:hRule="exact"/>
        </w:trPr>
        <w:tc>
          <w:tcPr>
            <w:tcW w:w="6297" w:type="dxa"/>
            <w:tcBorders>
              <w:top w:val="single" w:sz="4" w:space="0" w:color="000001"/>
              <w:left w:val="single" w:sz="4" w:space="0" w:color="000001"/>
              <w:bottom w:val="single" w:sz="4" w:space="0" w:color="000001"/>
              <w:insideH w:val="single" w:sz="4" w:space="0" w:color="000001"/>
            </w:tcBorders>
            <w:shd w:fill="auto" w:val="clear"/>
          </w:tcPr>
          <w:p>
            <w:pPr>
              <w:pStyle w:val="TableParagraph"/>
              <w:widowControl w:val="false"/>
              <w:spacing w:lineRule="exact" w:line="268"/>
              <w:rPr>
                <w:sz w:val="24"/>
              </w:rPr>
            </w:pPr>
            <w:r>
              <w:rPr>
                <w:rFonts w:eastAsia="Calibri" w:cs="" w:cstheme="minorBidi" w:eastAsiaTheme="minorHAnsi" w:ascii="Calibri" w:hAnsi="Calibri"/>
                <w:sz w:val="24"/>
                <w:lang w:val="en-US" w:eastAsia="en-US"/>
              </w:rPr>
              <w:t>Dodania tovarov</w:t>
            </w:r>
          </w:p>
        </w:tc>
        <w:tc>
          <w:tcPr>
            <w:tcW w:w="3333" w:type="dxa"/>
            <w:tcBorders>
              <w:top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317"/>
              <w:ind w:left="0" w:right="100" w:hanging="0"/>
              <w:jc w:val="right"/>
              <w:rPr>
                <w:rFonts w:ascii="Segoe UI Symbol" w:hAnsi="Segoe UI Symbol"/>
                <w:sz w:val="24"/>
              </w:rPr>
            </w:pPr>
            <w:r>
              <w:rPr>
                <w:rFonts w:eastAsia="Calibri" w:cs="" w:cstheme="minorBidi" w:eastAsiaTheme="minorHAnsi" w:ascii="Segoe UI Symbol" w:hAnsi="Segoe UI Symbol"/>
                <w:w w:val="99"/>
                <w:sz w:val="24"/>
                <w:lang w:val="en-US" w:eastAsia="en-US"/>
              </w:rPr>
              <w:t>☐</w:t>
            </w:r>
          </w:p>
        </w:tc>
      </w:tr>
      <w:tr>
        <w:trPr>
          <w:trHeight w:val="332" w:hRule="exact"/>
        </w:trPr>
        <w:tc>
          <w:tcPr>
            <w:tcW w:w="6297" w:type="dxa"/>
            <w:tcBorders>
              <w:top w:val="single" w:sz="4" w:space="0" w:color="000001"/>
              <w:left w:val="single" w:sz="4" w:space="0" w:color="000001"/>
              <w:bottom w:val="single" w:sz="4" w:space="0" w:color="000001"/>
              <w:insideH w:val="single" w:sz="4" w:space="0" w:color="000001"/>
            </w:tcBorders>
            <w:shd w:fill="auto" w:val="clear"/>
          </w:tcPr>
          <w:p>
            <w:pPr>
              <w:pStyle w:val="TableParagraph"/>
              <w:widowControl w:val="false"/>
              <w:spacing w:lineRule="exact" w:line="269"/>
              <w:rPr>
                <w:sz w:val="24"/>
              </w:rPr>
            </w:pPr>
            <w:r>
              <w:rPr>
                <w:rFonts w:eastAsia="Calibri" w:cs="" w:cstheme="minorBidi" w:eastAsiaTheme="minorHAnsi" w:ascii="Calibri" w:hAnsi="Calibri"/>
                <w:sz w:val="24"/>
                <w:lang w:val="en-US" w:eastAsia="en-US"/>
              </w:rPr>
              <w:t>Poskytovania služieb</w:t>
            </w:r>
          </w:p>
        </w:tc>
        <w:tc>
          <w:tcPr>
            <w:tcW w:w="3333" w:type="dxa"/>
            <w:tcBorders>
              <w:top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318"/>
              <w:ind w:left="0" w:right="100" w:hanging="0"/>
              <w:jc w:val="right"/>
              <w:rPr>
                <w:rFonts w:ascii="Segoe UI Symbol" w:hAnsi="Segoe UI Symbol"/>
                <w:sz w:val="24"/>
              </w:rPr>
            </w:pPr>
            <w:r>
              <w:rPr>
                <w:rFonts w:eastAsia="Calibri" w:cs="" w:cstheme="minorBidi" w:eastAsiaTheme="minorHAnsi" w:ascii="Segoe UI Symbol" w:hAnsi="Segoe UI Symbol"/>
                <w:w w:val="99"/>
                <w:sz w:val="24"/>
                <w:lang w:val="en-US" w:eastAsia="en-US"/>
              </w:rPr>
              <w:t>☐</w:t>
            </w:r>
          </w:p>
        </w:tc>
      </w:tr>
    </w:tbl>
    <w:p>
      <w:pPr>
        <w:pStyle w:val="TextBody"/>
        <w:spacing w:before="1" w:after="120"/>
        <w:rPr>
          <w:b/>
          <w:b/>
          <w:i/>
          <w:i/>
          <w:sz w:val="26"/>
        </w:rPr>
      </w:pPr>
      <w:r>
        <w:rPr>
          <w:b/>
          <w:i/>
          <w:sz w:val="26"/>
        </w:rPr>
      </w:r>
    </w:p>
    <w:tbl>
      <w:tblPr>
        <w:tblStyle w:val="TableNormal"/>
        <w:tblW w:w="9636" w:type="dxa"/>
        <w:jc w:val="left"/>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636"/>
      </w:tblGrid>
      <w:tr>
        <w:trPr>
          <w:trHeight w:val="562" w:hRule="exact"/>
        </w:trPr>
        <w:tc>
          <w:tcPr>
            <w:tcW w:w="96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268"/>
              <w:rPr>
                <w:sz w:val="24"/>
              </w:rPr>
            </w:pPr>
            <w:r>
              <w:rPr>
                <w:rFonts w:eastAsia="Calibri" w:cs="" w:cstheme="minorBidi" w:eastAsiaTheme="minorHAnsi" w:ascii="Calibri" w:hAnsi="Calibri"/>
                <w:sz w:val="24"/>
                <w:lang w:val="en-US" w:eastAsia="en-US"/>
              </w:rPr>
              <w:t>Hlavné miesto uskutočňovania stavebných prác</w:t>
            </w:r>
          </w:p>
          <w:p>
            <w:pPr>
              <w:pStyle w:val="TableParagraph"/>
              <w:widowControl w:val="false"/>
              <w:rPr>
                <w:sz w:val="24"/>
              </w:rPr>
            </w:pPr>
            <w:r>
              <w:rPr>
                <w:rFonts w:eastAsia="Calibri" w:cs="" w:cstheme="minorBidi" w:eastAsiaTheme="minorHAnsi" w:ascii="Calibri" w:hAnsi="Calibri"/>
                <w:sz w:val="24"/>
                <w:lang w:val="en-US" w:eastAsia="en-US"/>
              </w:rPr>
              <w:t>katastrálne územie Kráľová Lehota, okres Liptovský Mikuláš, Žilinský kraj.</w:t>
            </w:r>
          </w:p>
        </w:tc>
      </w:tr>
      <w:tr>
        <w:trPr>
          <w:trHeight w:val="562" w:hRule="exact"/>
        </w:trPr>
        <w:tc>
          <w:tcPr>
            <w:tcW w:w="96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ind w:left="105" w:right="8405" w:hanging="0"/>
              <w:rPr>
                <w:sz w:val="24"/>
              </w:rPr>
            </w:pPr>
            <w:r>
              <w:rPr>
                <w:rFonts w:eastAsia="Calibri" w:cs="" w:cstheme="minorBidi" w:eastAsiaTheme="minorHAnsi" w:ascii="Calibri" w:hAnsi="Calibri"/>
                <w:sz w:val="24"/>
                <w:lang w:val="en-US" w:eastAsia="en-US"/>
              </w:rPr>
              <w:t>NUTS kód:</w:t>
            </w:r>
          </w:p>
          <w:p>
            <w:pPr>
              <w:pStyle w:val="TableParagraph"/>
              <w:widowControl w:val="false"/>
              <w:spacing w:before="8" w:after="0"/>
              <w:ind w:left="105" w:right="8405" w:hanging="0"/>
              <w:rPr>
                <w:sz w:val="24"/>
              </w:rPr>
            </w:pPr>
            <w:r>
              <w:rPr>
                <w:rFonts w:eastAsia="Calibri" w:cs="" w:cstheme="minorBidi" w:eastAsiaTheme="minorHAnsi" w:ascii="Calibri" w:hAnsi="Calibri"/>
                <w:sz w:val="24"/>
                <w:lang w:val="en-US" w:eastAsia="en-US"/>
              </w:rPr>
              <w:t>SK031</w:t>
            </w:r>
          </w:p>
        </w:tc>
      </w:tr>
      <w:tr>
        <w:trPr>
          <w:trHeight w:val="562" w:hRule="exact"/>
        </w:trPr>
        <w:tc>
          <w:tcPr>
            <w:tcW w:w="96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268"/>
              <w:rPr>
                <w:sz w:val="24"/>
              </w:rPr>
            </w:pPr>
            <w:r>
              <w:rPr>
                <w:rFonts w:eastAsia="Calibri" w:cs="" w:cstheme="minorBidi" w:eastAsiaTheme="minorHAnsi" w:ascii="Calibri" w:hAnsi="Calibri"/>
                <w:b/>
                <w:bCs/>
                <w:sz w:val="24"/>
                <w:lang w:val="en-US" w:eastAsia="en-US"/>
              </w:rPr>
              <w:t>Predpokladaná hodnota zákazky</w:t>
            </w:r>
            <w:r>
              <w:rPr>
                <w:rFonts w:eastAsia="Calibri" w:cs="" w:cstheme="minorBidi" w:eastAsiaTheme="minorHAnsi" w:ascii="Calibri" w:hAnsi="Calibri"/>
                <w:sz w:val="24"/>
                <w:lang w:val="en-US" w:eastAsia="en-US"/>
              </w:rPr>
              <w:t xml:space="preserve">:199 788,897 </w:t>
            </w:r>
          </w:p>
          <w:p>
            <w:pPr>
              <w:pStyle w:val="TableParagraph"/>
              <w:widowControl w:val="false"/>
              <w:ind w:left="105" w:right="8405" w:hanging="0"/>
              <w:rPr>
                <w:rFonts w:ascii="Calibri" w:hAnsi="Calibri" w:eastAsia="Calibri" w:cs="" w:asciiTheme="minorHAnsi" w:cstheme="minorBidi" w:eastAsiaTheme="minorHAnsi" w:hAnsiTheme="minorHAnsi"/>
                <w:sz w:val="24"/>
                <w:lang w:val="en-US" w:eastAsia="en-US"/>
              </w:rPr>
            </w:pPr>
            <w:r>
              <w:rPr>
                <w:rFonts w:eastAsia="Calibri" w:cs="" w:cstheme="minorBidi" w:eastAsiaTheme="minorHAnsi" w:ascii="Calibri" w:hAnsi="Calibri"/>
                <w:sz w:val="24"/>
                <w:lang w:val="en-US" w:eastAsia="en-US"/>
              </w:rPr>
            </w:r>
          </w:p>
        </w:tc>
      </w:tr>
    </w:tbl>
    <w:p>
      <w:pPr>
        <w:sectPr>
          <w:headerReference w:type="default" r:id="rId2"/>
          <w:type w:val="nextPage"/>
          <w:pgSz w:w="11906" w:h="16838"/>
          <w:pgMar w:left="900" w:right="980" w:header="721" w:top="1060" w:footer="0" w:bottom="280" w:gutter="0"/>
          <w:pgNumType w:fmt="decimal"/>
          <w:formProt w:val="false"/>
          <w:textDirection w:val="lrTb"/>
          <w:docGrid w:type="default" w:linePitch="100" w:charSpace="0"/>
        </w:sectPr>
      </w:pPr>
    </w:p>
    <w:p>
      <w:pPr>
        <w:pStyle w:val="TextBody"/>
        <w:spacing w:before="2" w:after="120"/>
        <w:rPr/>
      </w:pPr>
      <w:r>
        <w:rPr/>
        <mc:AlternateContent>
          <mc:Choice Requires="wps">
            <w:drawing>
              <wp:anchor behindDoc="0" distT="0" distB="0" distL="114300" distR="114300" simplePos="0" locked="0" layoutInCell="1" allowOverlap="1" relativeHeight="2" wp14:anchorId="33CBFFB6">
                <wp:simplePos x="0" y="0"/>
                <wp:positionH relativeFrom="page">
                  <wp:posOffset>792480</wp:posOffset>
                </wp:positionH>
                <wp:positionV relativeFrom="page">
                  <wp:posOffset>4310380</wp:posOffset>
                </wp:positionV>
                <wp:extent cx="4238625" cy="915035"/>
                <wp:effectExtent l="1905" t="0" r="0" b="4445"/>
                <wp:wrapNone/>
                <wp:docPr id="3" name="Text Box 43"/>
                <a:graphic xmlns:a="http://schemas.openxmlformats.org/drawingml/2006/main">
                  <a:graphicData uri="http://schemas.microsoft.com/office/word/2010/wordprocessingShape">
                    <wps:wsp>
                      <wps:cNvSpPr/>
                      <wps:spPr>
                        <a:xfrm>
                          <a:off x="0" y="0"/>
                          <a:ext cx="4237920" cy="914400"/>
                        </a:xfrm>
                        <a:prstGeom prst="rect">
                          <a:avLst/>
                        </a:prstGeom>
                        <a:noFill/>
                        <a:ln>
                          <a:noFill/>
                        </a:ln>
                      </wps:spPr>
                      <wps:style>
                        <a:lnRef idx="0"/>
                        <a:fillRef idx="0"/>
                        <a:effectRef idx="0"/>
                        <a:fontRef idx="minor"/>
                      </wps:style>
                      <wps:txbx>
                        <w:txbxContent>
                          <w:p>
                            <w:pPr>
                              <w:pStyle w:val="TextBody"/>
                              <w:spacing w:before="0" w:after="120"/>
                              <w:rPr>
                                <w:color w:val="auto"/>
                              </w:rPr>
                            </w:pPr>
                            <w:r>
                              <w:rPr>
                                <w:color w:val="auto"/>
                              </w:rPr>
                            </w:r>
                          </w:p>
                        </w:txbxContent>
                      </wps:txbx>
                      <wps:bodyPr lIns="0" rIns="0" tIns="0" bIns="0">
                        <a:noAutofit/>
                      </wps:bodyPr>
                    </wps:wsp>
                  </a:graphicData>
                </a:graphic>
              </wp:anchor>
            </w:drawing>
          </mc:Choice>
          <mc:Fallback>
            <w:pict>
              <v:rect id="shape_0" ID="Text Box 43" stroked="f" style="position:absolute;margin-left:62.4pt;margin-top:339.4pt;width:333.65pt;height:71.95pt;mso-position-horizontal-relative:page;mso-position-vertical-relative:page" wp14:anchorId="33CBFFB6">
                <w10:wrap type="none"/>
                <v:fill o:detectmouseclick="t" on="false"/>
                <v:stroke color="#3465a4" joinstyle="round" endcap="flat"/>
                <v:textbox>
                  <w:txbxContent>
                    <w:p>
                      <w:pPr>
                        <w:pStyle w:val="TextBody"/>
                        <w:spacing w:before="0" w:after="120"/>
                        <w:rPr>
                          <w:color w:val="auto"/>
                        </w:rPr>
                      </w:pPr>
                      <w:r>
                        <w:rPr>
                          <w:color w:val="auto"/>
                        </w:rPr>
                      </w:r>
                    </w:p>
                  </w:txbxContent>
                </v:textbox>
              </v:rect>
            </w:pict>
          </mc:Fallback>
        </mc:AlternateContent>
      </w:r>
    </w:p>
    <w:tbl>
      <w:tblPr>
        <w:tblStyle w:val="TableNormal"/>
        <w:tblW w:w="9634" w:type="dxa"/>
        <w:jc w:val="left"/>
        <w:tblInd w:w="23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634"/>
      </w:tblGrid>
      <w:tr>
        <w:trPr>
          <w:trHeight w:val="287" w:hRule="exact"/>
        </w:trPr>
        <w:tc>
          <w:tcPr>
            <w:tcW w:w="96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EDEBE0" w:val="clear"/>
          </w:tcPr>
          <w:p>
            <w:pPr>
              <w:pStyle w:val="TableParagraph"/>
              <w:widowControl w:val="false"/>
              <w:spacing w:lineRule="exact" w:line="273"/>
              <w:ind w:left="104" w:hanging="0"/>
              <w:rPr>
                <w:b/>
                <w:b/>
                <w:sz w:val="24"/>
              </w:rPr>
            </w:pPr>
            <w:r>
              <w:rPr>
                <w:rFonts w:eastAsia="Calibri" w:cs="" w:cstheme="minorBidi" w:eastAsiaTheme="minorHAnsi" w:ascii="Calibri" w:hAnsi="Calibri"/>
                <w:b/>
                <w:sz w:val="24"/>
                <w:lang w:val="en-US" w:eastAsia="en-US"/>
              </w:rPr>
              <w:t>3. Opis predmetu zákazky</w:t>
            </w:r>
          </w:p>
        </w:tc>
      </w:tr>
    </w:tbl>
    <w:p>
      <w:pPr>
        <w:pStyle w:val="TextBody"/>
        <w:spacing w:before="2" w:after="120"/>
        <w:rPr>
          <w:sz w:val="17"/>
        </w:rPr>
      </w:pPr>
      <w:r>
        <w:rPr>
          <w:sz w:val="17"/>
        </w:rPr>
      </w:r>
    </w:p>
    <w:tbl>
      <w:tblPr>
        <w:tblStyle w:val="TableNormal"/>
        <w:tblW w:w="9726" w:type="dxa"/>
        <w:jc w:val="left"/>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726"/>
      </w:tblGrid>
      <w:tr>
        <w:trPr>
          <w:trHeight w:val="7936" w:hRule="exact"/>
        </w:trPr>
        <w:tc>
          <w:tcPr>
            <w:tcW w:w="97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ListParagraph"/>
              <w:widowControl w:val="false"/>
              <w:numPr>
                <w:ilvl w:val="1"/>
                <w:numId w:val="6"/>
              </w:numPr>
              <w:tabs>
                <w:tab w:val="left" w:pos="360" w:leader="none"/>
              </w:tabs>
              <w:jc w:val="both"/>
              <w:rPr>
                <w:b/>
                <w:b/>
                <w:lang w:val="sk-SK"/>
              </w:rPr>
            </w:pPr>
            <w:r>
              <w:rPr>
                <w:rFonts w:eastAsia="Calibri" w:cstheme="minorBidi" w:eastAsiaTheme="minorHAnsi" w:ascii="Calibri" w:hAnsi="Calibri"/>
                <w:b/>
                <w:lang w:val="sk-SK" w:eastAsia="en-US"/>
              </w:rPr>
              <w:t>Popis stavby a prevádzky</w:t>
            </w:r>
          </w:p>
          <w:p>
            <w:pPr>
              <w:pStyle w:val="Normal"/>
              <w:widowControl w:val="false"/>
              <w:tabs>
                <w:tab w:val="left" w:pos="360" w:leader="none"/>
              </w:tabs>
              <w:jc w:val="both"/>
              <w:rPr>
                <w:lang w:val="sk-SK"/>
              </w:rPr>
            </w:pPr>
            <w:r>
              <w:rPr>
                <w:rFonts w:eastAsia="Calibri" w:cstheme="minorBidi" w:eastAsiaTheme="minorHAnsi" w:ascii="Calibri" w:hAnsi="Calibri"/>
                <w:lang w:val="sk-SK" w:eastAsia="en-US"/>
              </w:rPr>
              <w:t>Drobný vodný tok Belinec je horská bystrina s neustáleným rozkolísaným vodným režimom,</w:t>
            </w:r>
          </w:p>
          <w:p>
            <w:pPr>
              <w:pStyle w:val="Normal"/>
              <w:widowControl w:val="false"/>
              <w:tabs>
                <w:tab w:val="left" w:pos="360" w:leader="none"/>
              </w:tabs>
              <w:jc w:val="both"/>
              <w:rPr>
                <w:lang w:val="sk-SK"/>
              </w:rPr>
            </w:pPr>
            <w:r>
              <w:rPr>
                <w:rFonts w:eastAsia="Calibri" w:cstheme="minorBidi" w:eastAsiaTheme="minorHAnsi" w:ascii="Calibri" w:hAnsi="Calibri"/>
                <w:lang w:val="sk-SK" w:eastAsia="en-US"/>
              </w:rPr>
              <w:t xml:space="preserve"> </w:t>
            </w:r>
            <w:r>
              <w:rPr>
                <w:rFonts w:eastAsia="Calibri" w:cstheme="minorBidi" w:eastAsiaTheme="minorHAnsi" w:ascii="Calibri" w:hAnsi="Calibri"/>
                <w:lang w:val="sk-SK" w:eastAsia="en-US"/>
              </w:rPr>
              <w:t xml:space="preserve">do ktorého sa sústreďujú povrchové vody z lesnatého povodia so strmými svahmi, </w:t>
            </w:r>
          </w:p>
          <w:p>
            <w:pPr>
              <w:pStyle w:val="Normal"/>
              <w:widowControl w:val="false"/>
              <w:tabs>
                <w:tab w:val="left" w:pos="360" w:leader="none"/>
              </w:tabs>
              <w:jc w:val="both"/>
              <w:rPr>
                <w:lang w:val="sk-SK"/>
              </w:rPr>
            </w:pPr>
            <w:r>
              <w:rPr>
                <w:rFonts w:eastAsia="Calibri" w:cstheme="minorBidi" w:eastAsiaTheme="minorHAnsi" w:ascii="Calibri" w:hAnsi="Calibri"/>
                <w:lang w:val="sk-SK" w:eastAsia="en-US"/>
              </w:rPr>
              <w:t xml:space="preserve">skalnými dolomitickými útvarmi a početnými bočnými dolinami. Súbežne s potokom vedie </w:t>
            </w:r>
          </w:p>
          <w:p>
            <w:pPr>
              <w:pStyle w:val="Normal"/>
              <w:widowControl w:val="false"/>
              <w:tabs>
                <w:tab w:val="left" w:pos="360" w:leader="none"/>
              </w:tabs>
              <w:jc w:val="both"/>
              <w:rPr>
                <w:lang w:val="sk-SK"/>
              </w:rPr>
            </w:pPr>
            <w:r>
              <w:rPr>
                <w:rFonts w:eastAsia="Calibri" w:cstheme="minorBidi" w:eastAsiaTheme="minorHAnsi" w:ascii="Calibri" w:hAnsi="Calibri"/>
                <w:lang w:val="sk-SK" w:eastAsia="en-US"/>
              </w:rPr>
              <w:t>lesná približovacia cesta, ktorá po 700 m sa rozvíja do svahu. Spodná časť toku po povodniach odplavila teleso cesty,  preto približovanie dreva sa vykonáva z časti aj v koryte toku, čomu je</w:t>
            </w:r>
          </w:p>
          <w:p>
            <w:pPr>
              <w:pStyle w:val="Normal"/>
              <w:widowControl w:val="false"/>
              <w:tabs>
                <w:tab w:val="left" w:pos="360" w:leader="none"/>
              </w:tabs>
              <w:jc w:val="both"/>
              <w:rPr>
                <w:lang w:val="sk-SK"/>
              </w:rPr>
            </w:pPr>
            <w:r>
              <w:rPr>
                <w:rFonts w:eastAsia="Calibri" w:cstheme="minorBidi" w:eastAsiaTheme="minorHAnsi" w:ascii="Calibri" w:hAnsi="Calibri"/>
                <w:lang w:val="sk-SK" w:eastAsia="en-US"/>
              </w:rPr>
              <w:t xml:space="preserve"> </w:t>
            </w:r>
            <w:r>
              <w:rPr>
                <w:rFonts w:eastAsia="Calibri" w:cstheme="minorBidi" w:eastAsiaTheme="minorHAnsi" w:ascii="Calibri" w:hAnsi="Calibri"/>
                <w:lang w:val="sk-SK" w:eastAsia="en-US"/>
              </w:rPr>
              <w:t xml:space="preserve">potrebné zabrániť navrhovanými biotechnickými opatreniami na stabilizáciu dna potoka a jeho usmernenie do pôvodného koryta, ktoré je v teréne viditeľné.  </w:t>
            </w:r>
          </w:p>
          <w:p>
            <w:pPr>
              <w:pStyle w:val="Normal"/>
              <w:widowControl w:val="false"/>
              <w:tabs>
                <w:tab w:val="left" w:pos="360" w:leader="none"/>
              </w:tabs>
              <w:jc w:val="both"/>
              <w:rPr>
                <w:lang w:val="sk-SK"/>
              </w:rPr>
            </w:pPr>
            <w:r>
              <w:rPr>
                <w:rFonts w:eastAsia="Calibri" w:cstheme="minorBidi" w:eastAsiaTheme="minorHAnsi" w:ascii="Calibri" w:hAnsi="Calibri"/>
                <w:lang w:val="sk-SK" w:eastAsia="en-US"/>
              </w:rPr>
              <w:t xml:space="preserve">Lesné ihličnaté porasty s prevahou smreka sú poškodené veternou kôrovcou kalamitou a preto obnova lesa a spracovanie kalamity, bude vyžadovať v doline Belinec pohyb lesných mechanizmov a dovoz lesných robotníkov na pracovisko. </w:t>
            </w:r>
          </w:p>
          <w:p>
            <w:pPr>
              <w:pStyle w:val="Normal"/>
              <w:widowControl w:val="false"/>
              <w:tabs>
                <w:tab w:val="left" w:pos="360" w:leader="none"/>
              </w:tabs>
              <w:jc w:val="both"/>
              <w:rPr>
                <w:lang w:val="sk-SK"/>
              </w:rPr>
            </w:pPr>
            <w:r>
              <w:rPr>
                <w:rFonts w:eastAsia="Calibri" w:cstheme="minorBidi" w:eastAsiaTheme="minorHAnsi" w:ascii="Calibri" w:hAnsi="Calibri"/>
                <w:lang w:val="sk-SK" w:eastAsia="en-US"/>
              </w:rPr>
              <w:t xml:space="preserve">Navrhnuté drobné vodné zariadenia na zamedzenie škôd tečúcou vodou majú charakter priečnych objektov záhrádzania bystrín najmä vodných prahov do výšky 390 mm a vodných pásov na úrovni dna.  </w:t>
            </w:r>
          </w:p>
          <w:p>
            <w:pPr>
              <w:pStyle w:val="Normal"/>
              <w:widowControl w:val="false"/>
              <w:jc w:val="both"/>
              <w:rPr>
                <w:lang w:val="sk-SK"/>
              </w:rPr>
            </w:pPr>
            <w:r>
              <w:rPr>
                <w:rFonts w:eastAsia="Calibri" w:cstheme="minorBidi" w:eastAsiaTheme="minorHAnsi" w:ascii="Calibri" w:hAnsi="Calibri"/>
                <w:lang w:val="sk-SK" w:eastAsia="en-US"/>
              </w:rPr>
              <w:t>Terajší stav toku a jeho koryta  je technicky nevyhovujúci, nakoľko:</w:t>
            </w:r>
          </w:p>
          <w:p>
            <w:pPr>
              <w:pStyle w:val="Normal"/>
              <w:widowControl w:val="false"/>
              <w:jc w:val="both"/>
              <w:rPr>
                <w:lang w:val="sk-SK"/>
              </w:rPr>
            </w:pPr>
            <w:r>
              <w:rPr>
                <w:rFonts w:eastAsia="Calibri" w:cstheme="minorBidi" w:eastAsiaTheme="minorHAnsi" w:ascii="Calibri" w:hAnsi="Calibri"/>
                <w:lang w:val="sk-SK" w:eastAsia="en-US"/>
              </w:rPr>
              <w:t>- brehové nátrže spôsobujú extrémnu eróziu a transport štrku</w:t>
            </w:r>
          </w:p>
          <w:p>
            <w:pPr>
              <w:pStyle w:val="Normal"/>
              <w:widowControl w:val="false"/>
              <w:jc w:val="both"/>
              <w:rPr>
                <w:lang w:val="sk-SK"/>
              </w:rPr>
            </w:pPr>
            <w:r>
              <w:rPr>
                <w:rFonts w:eastAsia="Calibri" w:cstheme="minorBidi" w:eastAsiaTheme="minorHAnsi" w:ascii="Calibri" w:hAnsi="Calibri"/>
                <w:lang w:val="sk-SK" w:eastAsia="en-US"/>
              </w:rPr>
              <w:t xml:space="preserve">- prehlbovanie rýhy na dne  uvoľňuje balvany počas prívalových búrok a znižuje hladinu  </w:t>
            </w:r>
          </w:p>
          <w:p>
            <w:pPr>
              <w:pStyle w:val="Normal"/>
              <w:widowControl w:val="false"/>
              <w:jc w:val="both"/>
              <w:rPr>
                <w:lang w:val="sk-SK"/>
              </w:rPr>
            </w:pPr>
            <w:r>
              <w:rPr>
                <w:rFonts w:eastAsia="Calibri" w:cstheme="minorBidi" w:eastAsiaTheme="minorHAnsi" w:ascii="Calibri" w:hAnsi="Calibri"/>
                <w:lang w:val="sk-SK" w:eastAsia="en-US"/>
              </w:rPr>
              <w:t xml:space="preserve">  </w:t>
            </w:r>
            <w:r>
              <w:rPr>
                <w:rFonts w:eastAsia="Calibri" w:cstheme="minorBidi" w:eastAsiaTheme="minorHAnsi" w:ascii="Calibri" w:hAnsi="Calibri"/>
                <w:lang w:val="sk-SK" w:eastAsia="en-US"/>
              </w:rPr>
              <w:t>podzemnej vody v okolitých svahoch ochranného lesa</w:t>
            </w:r>
          </w:p>
          <w:p>
            <w:pPr>
              <w:pStyle w:val="Normal"/>
              <w:widowControl w:val="false"/>
              <w:jc w:val="both"/>
              <w:rPr>
                <w:lang w:val="sk-SK"/>
              </w:rPr>
            </w:pPr>
            <w:r>
              <w:rPr>
                <w:rFonts w:eastAsia="Calibri" w:cstheme="minorBidi" w:eastAsiaTheme="minorHAnsi" w:ascii="Calibri" w:hAnsi="Calibri"/>
                <w:lang w:val="sk-SK" w:eastAsia="en-US"/>
              </w:rPr>
              <w:t xml:space="preserve">- karbonátové sedimenty vyplnili celý odtokový priestor starého koryta s náletovými   </w:t>
            </w:r>
          </w:p>
          <w:p>
            <w:pPr>
              <w:pStyle w:val="Normal"/>
              <w:widowControl w:val="false"/>
              <w:jc w:val="both"/>
              <w:rPr>
                <w:lang w:val="sk-SK"/>
              </w:rPr>
            </w:pPr>
            <w:r>
              <w:rPr>
                <w:rFonts w:eastAsia="Calibri" w:cstheme="minorBidi" w:eastAsiaTheme="minorHAnsi" w:ascii="Calibri" w:hAnsi="Calibri"/>
                <w:lang w:val="sk-SK" w:eastAsia="en-US"/>
              </w:rPr>
              <w:t xml:space="preserve">   </w:t>
            </w:r>
            <w:r>
              <w:rPr>
                <w:rFonts w:eastAsia="Calibri" w:cstheme="minorBidi" w:eastAsiaTheme="minorHAnsi" w:ascii="Calibri" w:hAnsi="Calibri"/>
                <w:lang w:val="sk-SK" w:eastAsia="en-US"/>
              </w:rPr>
              <w:t xml:space="preserve">drevinami ako sú   </w:t>
            </w:r>
            <w:r>
              <w:rPr>
                <w:rFonts w:eastAsia="Calibri" w:cstheme="minorBidi" w:eastAsiaTheme="minorHAnsi" w:ascii="Calibri" w:hAnsi="Calibri"/>
                <w:i/>
                <w:lang w:val="sk-SK" w:eastAsia="en-US"/>
              </w:rPr>
              <w:t>Alnus a Salix</w:t>
            </w:r>
            <w:r>
              <w:rPr>
                <w:rFonts w:eastAsia="Calibri" w:cstheme="minorBidi" w:eastAsiaTheme="minorHAnsi" w:ascii="Calibri" w:hAnsi="Calibri"/>
                <w:lang w:val="sk-SK" w:eastAsia="en-US"/>
              </w:rPr>
              <w:t xml:space="preserve"> , trávami s dominanciou vodných rastlín rodu  </w:t>
            </w:r>
            <w:r>
              <w:rPr>
                <w:rFonts w:eastAsia="Calibri" w:cstheme="minorBidi" w:eastAsiaTheme="minorHAnsi" w:ascii="Calibri" w:hAnsi="Calibri"/>
                <w:i/>
                <w:lang w:val="sk-SK" w:eastAsia="en-US"/>
              </w:rPr>
              <w:t>Juncus</w:t>
            </w:r>
            <w:r>
              <w:rPr>
                <w:rFonts w:eastAsia="Calibri" w:cstheme="minorBidi" w:eastAsiaTheme="minorHAnsi" w:ascii="Calibri" w:hAnsi="Calibri"/>
                <w:lang w:val="sk-SK" w:eastAsia="en-US"/>
              </w:rPr>
              <w:t xml:space="preserve"> . </w:t>
            </w:r>
          </w:p>
          <w:p>
            <w:pPr>
              <w:pStyle w:val="Normal"/>
              <w:widowControl w:val="false"/>
              <w:jc w:val="both"/>
              <w:rPr>
                <w:rFonts w:ascii="Calibri" w:hAnsi="Calibri" w:eastAsia="Calibri" w:asciiTheme="minorHAnsi" w:cstheme="minorBidi" w:eastAsiaTheme="minorHAnsi" w:hAnsiTheme="minorHAnsi"/>
                <w:lang w:val="sk-SK" w:eastAsia="en-US"/>
              </w:rPr>
            </w:pPr>
            <w:r>
              <w:rPr>
                <w:rFonts w:eastAsia="Calibri" w:cstheme="minorBidi" w:eastAsiaTheme="minorHAnsi" w:ascii="Calibri" w:hAnsi="Calibri"/>
                <w:lang w:val="sk-SK" w:eastAsia="en-US"/>
              </w:rPr>
            </w:r>
          </w:p>
          <w:p>
            <w:pPr>
              <w:pStyle w:val="Normal"/>
              <w:widowControl w:val="false"/>
              <w:jc w:val="both"/>
              <w:rPr>
                <w:lang w:val="sk-SK"/>
              </w:rPr>
            </w:pPr>
            <w:r>
              <w:rPr>
                <w:rFonts w:eastAsia="Calibri" w:cstheme="minorBidi" w:eastAsiaTheme="minorHAnsi" w:ascii="Calibri" w:hAnsi="Calibri"/>
                <w:lang w:val="sk-SK" w:eastAsia="en-US"/>
              </w:rPr>
              <w:t xml:space="preserve">Voda obmýva poškodené chodníky a zvetralé kamenné opevnenie násypu lesnej cesty. Technický stav dna toku neumožňuje sústredenie zostatkového prietoku v čase sucha a  bráni migrácii rýb do horných častí povodia. </w:t>
            </w:r>
          </w:p>
          <w:p>
            <w:pPr>
              <w:pStyle w:val="Normal"/>
              <w:widowControl w:val="false"/>
              <w:jc w:val="both"/>
              <w:rPr>
                <w:rFonts w:cs="Arial"/>
                <w:bCs/>
                <w:iCs/>
              </w:rPr>
            </w:pPr>
            <w:r>
              <w:rPr>
                <w:rFonts w:eastAsia="Calibri" w:cstheme="minorBidi" w:eastAsiaTheme="minorHAnsi" w:ascii="Calibri" w:hAnsi="Calibri"/>
                <w:lang w:val="sk-SK" w:eastAsia="en-US"/>
              </w:rPr>
              <w:t>Navrhnuté drobné opatrenia na toku stabilizujú dno toku tak, aby koryto previedlo prietokové množstvo Q</w:t>
            </w:r>
            <w:r>
              <w:rPr>
                <w:rFonts w:eastAsia="Calibri" w:cstheme="minorBidi" w:eastAsiaTheme="minorHAnsi" w:ascii="Calibri" w:hAnsi="Calibri"/>
                <w:vertAlign w:val="subscript"/>
                <w:lang w:val="sk-SK" w:eastAsia="en-US"/>
              </w:rPr>
              <w:t>100</w:t>
            </w:r>
            <w:r>
              <w:rPr>
                <w:rFonts w:eastAsia="Calibri" w:cstheme="minorBidi" w:eastAsiaTheme="minorHAnsi" w:ascii="Calibri" w:hAnsi="Calibri"/>
                <w:lang w:val="sk-SK" w:eastAsia="en-US"/>
              </w:rPr>
              <w:t xml:space="preserve"> a lesné mechanizmy neprichádzali do styku s tečúcou vodou v potoku.</w:t>
            </w:r>
            <w:r>
              <w:rPr>
                <w:rFonts w:eastAsia="Calibri" w:cs="Arial" w:eastAsiaTheme="minorHAnsi" w:ascii="Calibri" w:hAnsi="Calibri"/>
                <w:bCs/>
                <w:iCs/>
                <w:lang w:eastAsia="en-US"/>
              </w:rPr>
              <w:t xml:space="preserve"> </w:t>
            </w:r>
          </w:p>
          <w:p>
            <w:pPr>
              <w:pStyle w:val="Normal"/>
              <w:widowControl w:val="false"/>
              <w:ind w:left="960" w:hanging="0"/>
              <w:rPr>
                <w:rFonts w:ascii="Calibri" w:hAnsi="Calibri" w:eastAsia="Calibri" w:asciiTheme="minorHAnsi" w:cstheme="minorBidi" w:eastAsiaTheme="minorHAnsi" w:hAnsiTheme="minorHAnsi"/>
                <w:lang w:eastAsia="en-US"/>
              </w:rPr>
            </w:pPr>
            <w:r>
              <w:rPr>
                <w:rFonts w:eastAsia="Calibri" w:cstheme="minorBidi" w:eastAsiaTheme="minorHAnsi" w:ascii="Calibri" w:hAnsi="Calibri"/>
                <w:lang w:eastAsia="en-US"/>
              </w:rPr>
            </w:r>
          </w:p>
        </w:tc>
      </w:tr>
    </w:tbl>
    <w:p>
      <w:pPr>
        <w:pStyle w:val="TextBody"/>
        <w:spacing w:before="6" w:after="120"/>
        <w:rPr>
          <w:sz w:val="23"/>
        </w:rPr>
      </w:pPr>
      <w:r>
        <w:rPr>
          <w:sz w:val="23"/>
        </w:rPr>
      </w:r>
    </w:p>
    <w:tbl>
      <w:tblPr>
        <w:tblStyle w:val="TableNormal"/>
        <w:tblW w:w="9810" w:type="dxa"/>
        <w:jc w:val="left"/>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810"/>
      </w:tblGrid>
      <w:tr>
        <w:trPr>
          <w:trHeight w:val="4313" w:hRule="exact"/>
        </w:trPr>
        <w:tc>
          <w:tcPr>
            <w:tcW w:w="98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ListParagraph"/>
              <w:numPr>
                <w:ilvl w:val="1"/>
                <w:numId w:val="6"/>
              </w:numPr>
              <w:tabs>
                <w:tab w:val="left" w:pos="360" w:leader="none"/>
              </w:tabs>
              <w:jc w:val="both"/>
              <w:rPr>
                <w:b/>
                <w:b/>
                <w:lang w:val="sk-SK"/>
              </w:rPr>
            </w:pPr>
            <w:r>
              <w:rPr>
                <w:rFonts w:eastAsia="Calibri" w:cs="" w:cstheme="minorBidi" w:eastAsiaTheme="minorHAnsi" w:ascii="Calibri" w:hAnsi="Calibri"/>
                <w:b/>
                <w:lang w:val="sk-SK"/>
              </w:rPr>
              <w:t>Charakteristika stavebnej úpravy :</w:t>
            </w:r>
          </w:p>
          <w:p>
            <w:pPr>
              <w:pStyle w:val="Normal"/>
              <w:tabs>
                <w:tab w:val="left" w:pos="5400" w:leader="none"/>
              </w:tabs>
              <w:rPr>
                <w:i/>
                <w:i/>
              </w:rPr>
            </w:pPr>
            <w:r>
              <w:rPr>
                <w:rFonts w:eastAsia="Calibri" w:cs="" w:cstheme="minorBidi" w:eastAsiaTheme="minorHAnsi" w:ascii="Calibri" w:hAnsi="Calibri"/>
                <w:i/>
              </w:rPr>
              <w:t>Dĺžka úpravy na toku:                                          1046 m</w:t>
            </w:r>
          </w:p>
          <w:p>
            <w:pPr>
              <w:pStyle w:val="Normal"/>
              <w:jc w:val="both"/>
              <w:rPr>
                <w:i/>
                <w:i/>
                <w:lang w:val="sk-SK"/>
              </w:rPr>
            </w:pPr>
            <w:r>
              <w:rPr>
                <w:rFonts w:eastAsia="Calibri" w:cs="" w:cstheme="minorBidi" w:eastAsiaTheme="minorHAnsi" w:ascii="Calibri" w:hAnsi="Calibri"/>
                <w:i/>
                <w:lang w:val="sk-SK"/>
              </w:rPr>
              <w:t>Nadmorská výška úpravy:                                   746,00-899,00 m.n.m.</w:t>
            </w:r>
          </w:p>
          <w:p>
            <w:pPr>
              <w:pStyle w:val="Normal"/>
              <w:tabs>
                <w:tab w:val="left" w:pos="5400" w:leader="none"/>
              </w:tabs>
              <w:rPr>
                <w:i/>
                <w:i/>
              </w:rPr>
            </w:pPr>
            <w:r>
              <w:rPr>
                <w:rFonts w:eastAsia="Calibri" w:cs="" w:cstheme="minorBidi" w:eastAsiaTheme="minorHAnsi" w:ascii="Calibri" w:hAnsi="Calibri"/>
                <w:i/>
              </w:rPr>
              <w:t xml:space="preserve">Výška  vodných prahov:                                       max. 0,3900 m   </w:t>
            </w:r>
          </w:p>
          <w:p>
            <w:pPr>
              <w:pStyle w:val="Normal"/>
              <w:tabs>
                <w:tab w:val="left" w:pos="5400" w:leader="none"/>
              </w:tabs>
              <w:rPr>
                <w:i/>
                <w:i/>
              </w:rPr>
            </w:pPr>
            <w:r>
              <w:rPr>
                <w:rFonts w:eastAsia="Calibri" w:cs="" w:cstheme="minorBidi" w:eastAsiaTheme="minorHAnsi" w:ascii="Calibri" w:hAnsi="Calibri"/>
                <w:i/>
              </w:rPr>
              <w:t xml:space="preserve">Šírka dna        :                                                     2,0 m </w:t>
            </w:r>
          </w:p>
          <w:p>
            <w:pPr>
              <w:pStyle w:val="Normal"/>
              <w:tabs>
                <w:tab w:val="left" w:pos="5400" w:leader="none"/>
              </w:tabs>
              <w:rPr>
                <w:i/>
                <w:i/>
              </w:rPr>
            </w:pPr>
            <w:r>
              <w:rPr>
                <w:rFonts w:eastAsia="Calibri" w:cs="" w:cstheme="minorBidi" w:eastAsiaTheme="minorHAnsi" w:ascii="Calibri" w:hAnsi="Calibri"/>
                <w:i/>
              </w:rPr>
              <w:t xml:space="preserve">Šírka brehov  v koruna  :                                      3,2 m </w:t>
            </w:r>
          </w:p>
          <w:p>
            <w:pPr>
              <w:pStyle w:val="Normal"/>
              <w:tabs>
                <w:tab w:val="left" w:pos="5400" w:leader="none"/>
              </w:tabs>
              <w:rPr>
                <w:i/>
                <w:i/>
              </w:rPr>
            </w:pPr>
            <w:r>
              <w:rPr>
                <w:rFonts w:eastAsia="Calibri" w:cs="" w:cstheme="minorBidi" w:eastAsiaTheme="minorHAnsi" w:ascii="Calibri" w:hAnsi="Calibri"/>
                <w:i/>
              </w:rPr>
              <w:t>Sklony brehov :                                                     1:2</w:t>
            </w:r>
          </w:p>
          <w:p>
            <w:pPr>
              <w:pStyle w:val="Normal"/>
              <w:jc w:val="both"/>
              <w:rPr>
                <w:i/>
                <w:i/>
                <w:lang w:val="sk-SK"/>
              </w:rPr>
            </w:pPr>
            <w:r>
              <w:rPr>
                <w:rFonts w:eastAsia="Calibri" w:cs="" w:cstheme="minorBidi" w:eastAsiaTheme="minorHAnsi" w:ascii="Calibri" w:hAnsi="Calibri"/>
                <w:i/>
                <w:lang w:val="sk-SK"/>
              </w:rPr>
              <w:t>Max. výška vody:                                                  0,3 m</w:t>
            </w:r>
          </w:p>
          <w:p>
            <w:pPr>
              <w:pStyle w:val="Normal"/>
              <w:jc w:val="both"/>
              <w:rPr>
                <w:i/>
                <w:i/>
                <w:lang w:val="sk-SK"/>
              </w:rPr>
            </w:pPr>
            <w:r>
              <w:rPr>
                <w:rFonts w:eastAsia="Calibri" w:cs="" w:cstheme="minorBidi" w:eastAsiaTheme="minorHAnsi" w:ascii="Calibri" w:hAnsi="Calibri"/>
                <w:i/>
                <w:lang w:val="sk-SK"/>
              </w:rPr>
              <w:t xml:space="preserve">Výška pre plaviace predmety:                              0,5 m </w:t>
            </w:r>
          </w:p>
          <w:p>
            <w:pPr>
              <w:pStyle w:val="TableParagraph"/>
              <w:ind w:left="105" w:right="100" w:hanging="0"/>
              <w:jc w:val="both"/>
              <w:rPr>
                <w:b/>
                <w:b/>
                <w:bCs/>
                <w:sz w:val="24"/>
              </w:rPr>
            </w:pPr>
            <w:r>
              <w:rPr>
                <w:rFonts w:eastAsia="Calibri" w:cs="" w:cstheme="minorBidi" w:eastAsiaTheme="minorHAnsi" w:ascii="Calibri" w:hAnsi="Calibri"/>
                <w:b/>
                <w:bCs/>
                <w:sz w:val="24"/>
              </w:rPr>
              <w:t>Hlavný kód CPV</w:t>
            </w:r>
          </w:p>
          <w:p>
            <w:pPr>
              <w:pStyle w:val="TableParagraph"/>
              <w:ind w:left="105" w:right="100" w:hanging="0"/>
              <w:jc w:val="both"/>
              <w:rPr>
                <w:sz w:val="24"/>
              </w:rPr>
            </w:pPr>
            <w:r>
              <w:rPr>
                <w:rFonts w:eastAsia="Calibri" w:cs="" w:cstheme="minorBidi" w:eastAsiaTheme="minorHAnsi" w:ascii="Calibri" w:hAnsi="Calibri"/>
                <w:sz w:val="24"/>
              </w:rPr>
              <w:t>45246400-7 Protipovodňové práce</w:t>
            </w:r>
          </w:p>
          <w:p>
            <w:pPr>
              <w:pStyle w:val="TableParagraph"/>
              <w:ind w:left="105" w:right="100" w:hanging="0"/>
              <w:jc w:val="both"/>
              <w:rPr>
                <w:b/>
                <w:b/>
                <w:bCs/>
                <w:sz w:val="24"/>
              </w:rPr>
            </w:pPr>
            <w:r>
              <w:rPr>
                <w:rFonts w:eastAsia="Calibri" w:cs="" w:cstheme="minorBidi" w:eastAsiaTheme="minorHAnsi" w:ascii="Calibri" w:hAnsi="Calibri"/>
                <w:b/>
                <w:bCs/>
                <w:sz w:val="24"/>
              </w:rPr>
              <w:t>Dodatočné kódy CPV</w:t>
            </w:r>
          </w:p>
          <w:p>
            <w:pPr>
              <w:pStyle w:val="TableParagraph"/>
              <w:ind w:left="105" w:right="100" w:hanging="0"/>
              <w:jc w:val="both"/>
              <w:rPr>
                <w:sz w:val="24"/>
              </w:rPr>
            </w:pPr>
            <w:r>
              <w:rPr>
                <w:rFonts w:eastAsia="Calibri" w:cs="" w:cstheme="minorBidi" w:eastAsiaTheme="minorHAnsi" w:ascii="Calibri" w:hAnsi="Calibri"/>
                <w:sz w:val="24"/>
              </w:rPr>
              <w:t>45246100-4  Výstavba riečnych hrádzi</w:t>
            </w:r>
          </w:p>
        </w:tc>
      </w:tr>
    </w:tbl>
    <w:p>
      <w:pPr>
        <w:pStyle w:val="TextBody"/>
        <w:rPr>
          <w:sz w:val="20"/>
        </w:rPr>
      </w:pPr>
      <w:r>
        <w:rPr>
          <w:sz w:val="20"/>
        </w:rPr>
      </w:r>
    </w:p>
    <w:p>
      <w:pPr>
        <w:pStyle w:val="TextBody"/>
        <w:spacing w:before="2" w:after="120"/>
        <w:rPr>
          <w:sz w:val="18"/>
        </w:rPr>
      </w:pPr>
      <w:r>
        <w:rPr>
          <w:sz w:val="18"/>
        </w:rPr>
      </w:r>
    </w:p>
    <w:tbl>
      <w:tblPr>
        <w:tblStyle w:val="TableNormal"/>
        <w:tblW w:w="9631" w:type="dxa"/>
        <w:jc w:val="left"/>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631"/>
      </w:tblGrid>
      <w:tr>
        <w:trPr>
          <w:trHeight w:val="3049" w:hRule="exact"/>
        </w:trPr>
        <w:tc>
          <w:tcPr>
            <w:tcW w:w="96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libri" w:hAnsi="Calibri" w:eastAsia="Calibri" w:cs="" w:asciiTheme="minorHAnsi" w:cstheme="minorBidi" w:eastAsiaTheme="minorHAnsi" w:hAnsiTheme="minorHAnsi"/>
                <w:lang w:val="en-US" w:eastAsia="en-US"/>
              </w:rPr>
            </w:pPr>
            <w:r>
              <w:rPr>
                <w:rFonts w:eastAsia="Calibri" w:cs="" w:cstheme="minorBidi" w:eastAsiaTheme="minorHAnsi" w:ascii="Calibri" w:hAnsi="Calibri"/>
                <w:lang w:val="en-US" w:eastAsia="en-US"/>
              </w:rPr>
            </w:r>
          </w:p>
        </w:tc>
      </w:tr>
    </w:tbl>
    <w:p>
      <w:pPr>
        <w:pStyle w:val="Normal"/>
        <w:rPr/>
      </w:pPr>
      <w:r>
        <w:rPr/>
      </w:r>
    </w:p>
    <w:p>
      <w:pPr>
        <w:pStyle w:val="TextBody"/>
        <w:spacing w:before="0" w:after="1"/>
        <w:rPr>
          <w:sz w:val="21"/>
        </w:rPr>
      </w:pPr>
      <w:r>
        <w:rPr>
          <w:sz w:val="21"/>
        </w:rPr>
      </w:r>
    </w:p>
    <w:tbl>
      <w:tblPr>
        <w:tblStyle w:val="TableNormal"/>
        <w:tblW w:w="9838" w:type="dxa"/>
        <w:jc w:val="left"/>
        <w:tblInd w:w="23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8" w:type="dxa"/>
          <w:bottom w:w="0" w:type="dxa"/>
          <w:right w:w="108" w:type="dxa"/>
        </w:tblCellMar>
        <w:tblLook w:firstRow="1" w:noVBand="0" w:lastRow="1" w:firstColumn="1" w:lastColumn="1" w:noHBand="0" w:val="01e0"/>
      </w:tblPr>
      <w:tblGrid>
        <w:gridCol w:w="9630"/>
        <w:gridCol w:w="207"/>
      </w:tblGrid>
      <w:tr>
        <w:trPr>
          <w:trHeight w:val="286" w:hRule="exact"/>
        </w:trPr>
        <w:tc>
          <w:tcPr>
            <w:tcW w:w="96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EDEBE0" w:val="clear"/>
          </w:tcPr>
          <w:p>
            <w:pPr>
              <w:pStyle w:val="TableParagraph"/>
              <w:widowControl w:val="false"/>
              <w:spacing w:lineRule="exact" w:line="273"/>
              <w:ind w:left="104" w:hanging="0"/>
              <w:rPr>
                <w:b/>
                <w:b/>
                <w:sz w:val="24"/>
              </w:rPr>
            </w:pPr>
            <w:r>
              <w:rPr>
                <w:rFonts w:eastAsia="Calibri" w:cs="" w:cstheme="minorBidi" w:eastAsiaTheme="minorHAnsi" w:ascii="Calibri" w:hAnsi="Calibri"/>
                <w:b/>
                <w:sz w:val="24"/>
                <w:lang w:val="en-US" w:eastAsia="en-US"/>
              </w:rPr>
              <w:t>4. Podmienky účasti</w:t>
            </w:r>
          </w:p>
        </w:tc>
        <w:tc>
          <w:tcPr>
            <w:tcW w:w="207" w:type="dxa"/>
            <w:tcBorders/>
            <w:shd w:fill="auto" w:val="clear"/>
          </w:tcPr>
          <w:p>
            <w:pPr>
              <w:pStyle w:val="Normal"/>
              <w:widowControl w:val="false"/>
              <w:rPr>
                <w:rFonts w:ascii="Calibri" w:hAnsi="Calibri" w:eastAsia="Calibri" w:cs="" w:asciiTheme="minorHAnsi" w:cstheme="minorBidi" w:eastAsiaTheme="minorHAnsi" w:hAnsiTheme="minorHAnsi"/>
                <w:lang w:val="en-US" w:eastAsia="en-US"/>
              </w:rPr>
            </w:pPr>
            <w:r>
              <w:rPr>
                <w:rFonts w:eastAsia="Calibri" w:cs="" w:cstheme="minorBidi" w:eastAsiaTheme="minorHAnsi" w:ascii="Calibri" w:hAnsi="Calibri"/>
                <w:lang w:val="en-US" w:eastAsia="en-US"/>
              </w:rPr>
            </w:r>
          </w:p>
        </w:tc>
      </w:tr>
      <w:tr>
        <w:trPr>
          <w:trHeight w:val="436" w:hRule="exact"/>
        </w:trPr>
        <w:tc>
          <w:tcPr>
            <w:tcW w:w="983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273"/>
              <w:rPr>
                <w:b/>
                <w:b/>
                <w:sz w:val="24"/>
              </w:rPr>
            </w:pPr>
            <w:r>
              <w:rPr>
                <w:rFonts w:eastAsia="Calibri" w:cs="" w:cstheme="minorBidi" w:eastAsiaTheme="minorHAnsi" w:ascii="Calibri" w:hAnsi="Calibri"/>
                <w:b/>
                <w:sz w:val="24"/>
                <w:lang w:val="en-US" w:eastAsia="en-US"/>
              </w:rPr>
              <w:t>4.1. Osobné postavenie</w:t>
            </w:r>
          </w:p>
        </w:tc>
      </w:tr>
      <w:tr>
        <w:trPr>
          <w:trHeight w:val="4736" w:hRule="exact"/>
        </w:trPr>
        <w:tc>
          <w:tcPr>
            <w:tcW w:w="9837"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ableParagraph"/>
              <w:widowControl w:val="false"/>
              <w:spacing w:lineRule="exact" w:line="268"/>
              <w:rPr>
                <w:sz w:val="24"/>
              </w:rPr>
            </w:pPr>
            <w:r>
              <w:rPr>
                <w:rFonts w:eastAsia="Calibri" w:cs="" w:cstheme="minorBidi" w:eastAsiaTheme="minorHAnsi" w:ascii="Calibri" w:hAnsi="Calibri"/>
                <w:sz w:val="24"/>
                <w:lang w:val="en-US" w:eastAsia="en-US"/>
              </w:rPr>
              <w:t>Informácie a formálne náležitosti nevyhnutné na vyhodnotenie splnenia podmienok účasti:</w:t>
            </w:r>
          </w:p>
          <w:p>
            <w:pPr>
              <w:pStyle w:val="TableParagraph"/>
              <w:widowControl w:val="false"/>
              <w:ind w:left="559" w:right="102" w:hanging="426"/>
              <w:jc w:val="both"/>
              <w:rPr>
                <w:sz w:val="24"/>
              </w:rPr>
            </w:pPr>
            <w:r>
              <w:rPr>
                <w:rFonts w:eastAsia="Calibri" w:cs="" w:cstheme="minorBidi" w:eastAsiaTheme="minorHAnsi" w:ascii="Calibri" w:hAnsi="Calibri"/>
                <w:sz w:val="24"/>
                <w:lang w:val="en-US" w:eastAsia="en-US"/>
              </w:rPr>
              <w:t>1.) Obstarávania sa môže zúčastniť len ten, kto spĺňa podmienky účasti týkajúce sa osobného postavenia - je oprávnený dodávať tovary, ktoré sú predmetom zákazky. Uchádzač preukazuje splnenie predmetnej podmienky účasti podľa tohto odseku dokladom o oprávnení dodávať tovar.</w:t>
            </w:r>
          </w:p>
          <w:p>
            <w:pPr>
              <w:pStyle w:val="TableParagraph"/>
              <w:widowControl w:val="false"/>
              <w:ind w:left="559" w:right="100" w:hanging="426"/>
              <w:jc w:val="both"/>
              <w:rPr>
                <w:sz w:val="24"/>
              </w:rPr>
            </w:pPr>
            <w:r>
              <w:rPr>
                <w:rFonts w:eastAsia="Calibri" w:cs="" w:cstheme="minorBidi" w:eastAsiaTheme="minorHAnsi" w:ascii="Calibri" w:hAnsi="Calibri"/>
                <w:sz w:val="24"/>
                <w:lang w:val="en-US" w:eastAsia="en-US"/>
              </w:rPr>
              <w:t>2.) Čestné vyhlásenie, že uchádzač ani jeho štatutárny orgán, ani žiadny člen štatutárneho orgánu, ani žiadny člen dozornej rady, ani prokurista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podpísané uchádzačom alebo osobou/osobami oprávnenými konať za uchádzača.</w:t>
            </w:r>
          </w:p>
          <w:p>
            <w:pPr>
              <w:pStyle w:val="TableParagraph"/>
              <w:widowControl w:val="false"/>
              <w:ind w:left="559" w:right="102" w:hanging="426"/>
              <w:jc w:val="both"/>
              <w:rPr>
                <w:sz w:val="24"/>
              </w:rPr>
            </w:pPr>
            <w:r>
              <w:rPr>
                <w:rFonts w:eastAsia="Calibri" w:cs="" w:cstheme="minorBidi" w:eastAsiaTheme="minorHAnsi" w:ascii="Calibri" w:hAnsi="Calibri"/>
                <w:sz w:val="24"/>
                <w:lang w:val="en-US" w:eastAsia="en-US"/>
              </w:rPr>
              <w:t>3.) Čestné vyhlásenie, že neporušuje zákaz nelegálnej práce a nelegálneho zamestnávania podľa zákona č. 82/2005 Z. z. o nelegálnej práci a nelegálnom zamestnávaní a o zmene a doplnení niektorých zákonov, podpísané uchádzačom alebo osobou/osobami oprávnenými konať za uchádzača.</w:t>
            </w:r>
          </w:p>
          <w:p>
            <w:pPr>
              <w:pStyle w:val="TableParagraph"/>
              <w:widowControl w:val="false"/>
              <w:ind w:left="559" w:right="100" w:hanging="426"/>
              <w:jc w:val="both"/>
              <w:rPr>
                <w:sz w:val="24"/>
              </w:rPr>
            </w:pPr>
            <w:r>
              <w:rPr>
                <w:rFonts w:eastAsia="Calibri" w:cs="" w:cstheme="minorBidi" w:eastAsiaTheme="minorHAnsi" w:ascii="Calibri" w:hAnsi="Calibri"/>
                <w:sz w:val="24"/>
                <w:lang w:val="en-US" w:eastAsia="en-US"/>
              </w:rPr>
              <w:t>4.) Čestné vyhlásenie uchádzača, že nie je v konkurze, likvidácii, reštrukturalizácii a nie je voči nemu vedené exekučné konanie, podpísané uchádzačom alebo osobou/osobami oprávnenými konať za uchádzača.</w:t>
            </w:r>
          </w:p>
          <w:p>
            <w:pPr>
              <w:pStyle w:val="TableParagraph"/>
              <w:widowControl w:val="false"/>
              <w:ind w:left="559" w:right="99" w:hanging="426"/>
              <w:jc w:val="both"/>
              <w:rPr>
                <w:sz w:val="24"/>
              </w:rPr>
            </w:pPr>
            <w:r>
              <w:rPr>
                <w:rFonts w:eastAsia="Calibri" w:cs="" w:cstheme="minorBidi" w:eastAsiaTheme="minorHAnsi" w:ascii="Calibri" w:hAnsi="Calibri"/>
                <w:sz w:val="24"/>
                <w:lang w:val="en-US" w:eastAsia="en-US"/>
              </w:rPr>
              <w:t>5.)  Hospodársky subjekt zapísaný v  Zozname hospodárskych subjektov podľa § 152 zákona      č.</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343/2015</w:t>
            </w:r>
            <w:r>
              <w:rPr>
                <w:rFonts w:eastAsia="Calibri" w:cs="" w:cstheme="minorBidi" w:eastAsiaTheme="minorHAnsi" w:ascii="Calibri" w:hAnsi="Calibri"/>
                <w:spacing w:val="-3"/>
                <w:sz w:val="24"/>
                <w:lang w:val="en-US" w:eastAsia="en-US"/>
              </w:rPr>
              <w:t xml:space="preserve"> </w:t>
            </w:r>
            <w:r>
              <w:rPr>
                <w:rFonts w:eastAsia="Calibri" w:cs="" w:cstheme="minorBidi" w:eastAsiaTheme="minorHAnsi" w:ascii="Calibri" w:hAnsi="Calibri"/>
                <w:sz w:val="24"/>
                <w:lang w:val="en-US" w:eastAsia="en-US"/>
              </w:rPr>
              <w:t>Z.</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z.</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o</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verejnom</w:t>
            </w:r>
            <w:r>
              <w:rPr>
                <w:rFonts w:eastAsia="Calibri" w:cs="" w:cstheme="minorBidi" w:eastAsiaTheme="minorHAnsi" w:ascii="Calibri" w:hAnsi="Calibri"/>
                <w:spacing w:val="-3"/>
                <w:sz w:val="24"/>
                <w:lang w:val="en-US" w:eastAsia="en-US"/>
              </w:rPr>
              <w:t xml:space="preserve"> </w:t>
            </w:r>
            <w:r>
              <w:rPr>
                <w:rFonts w:eastAsia="Calibri" w:cs="" w:cstheme="minorBidi" w:eastAsiaTheme="minorHAnsi" w:ascii="Calibri" w:hAnsi="Calibri"/>
                <w:sz w:val="24"/>
                <w:lang w:val="en-US" w:eastAsia="en-US"/>
              </w:rPr>
              <w:t>obstarávaní</w:t>
            </w:r>
            <w:r>
              <w:rPr>
                <w:rFonts w:eastAsia="Calibri" w:cs="" w:cstheme="minorBidi" w:eastAsiaTheme="minorHAnsi" w:ascii="Calibri" w:hAnsi="Calibri"/>
                <w:spacing w:val="-3"/>
                <w:sz w:val="24"/>
                <w:lang w:val="en-US" w:eastAsia="en-US"/>
              </w:rPr>
              <w:t xml:space="preserve"> </w:t>
            </w:r>
            <w:r>
              <w:rPr>
                <w:rFonts w:eastAsia="Calibri" w:cs="" w:cstheme="minorBidi" w:eastAsiaTheme="minorHAnsi" w:ascii="Calibri" w:hAnsi="Calibri"/>
                <w:sz w:val="24"/>
                <w:lang w:val="en-US" w:eastAsia="en-US"/>
              </w:rPr>
              <w:t>a</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o</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zmene</w:t>
            </w:r>
            <w:r>
              <w:rPr>
                <w:rFonts w:eastAsia="Calibri" w:cs="" w:cstheme="minorBidi" w:eastAsiaTheme="minorHAnsi" w:ascii="Calibri" w:hAnsi="Calibri"/>
                <w:spacing w:val="-5"/>
                <w:sz w:val="24"/>
                <w:lang w:val="en-US" w:eastAsia="en-US"/>
              </w:rPr>
              <w:t xml:space="preserve"> </w:t>
            </w:r>
            <w:r>
              <w:rPr>
                <w:rFonts w:eastAsia="Calibri" w:cs="" w:cstheme="minorBidi" w:eastAsiaTheme="minorHAnsi" w:ascii="Calibri" w:hAnsi="Calibri"/>
                <w:sz w:val="24"/>
                <w:lang w:val="en-US" w:eastAsia="en-US"/>
              </w:rPr>
              <w:t>a</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doplnení</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niektorých</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zákonov</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(ďalej</w:t>
            </w:r>
            <w:r>
              <w:rPr>
                <w:rFonts w:eastAsia="Calibri" w:cs="" w:cstheme="minorBidi" w:eastAsiaTheme="minorHAnsi" w:ascii="Calibri" w:hAnsi="Calibri"/>
                <w:spacing w:val="-4"/>
                <w:sz w:val="24"/>
                <w:lang w:val="en-US" w:eastAsia="en-US"/>
              </w:rPr>
              <w:t xml:space="preserve"> </w:t>
            </w:r>
            <w:r>
              <w:rPr>
                <w:rFonts w:eastAsia="Calibri" w:cs="" w:cstheme="minorBidi" w:eastAsiaTheme="minorHAnsi" w:ascii="Calibri" w:hAnsi="Calibri"/>
                <w:sz w:val="24"/>
                <w:lang w:val="en-US" w:eastAsia="en-US"/>
              </w:rPr>
              <w:t>len</w:t>
            </w:r>
          </w:p>
          <w:p>
            <w:pPr>
              <w:pStyle w:val="TableParagraph"/>
              <w:widowControl w:val="false"/>
              <w:ind w:left="559" w:right="99" w:hanging="0"/>
              <w:jc w:val="both"/>
              <w:rPr>
                <w:sz w:val="24"/>
              </w:rPr>
            </w:pPr>
            <w:r>
              <w:rPr>
                <w:rFonts w:eastAsia="Calibri" w:cs="" w:cstheme="minorBidi" w:eastAsiaTheme="minorHAnsi" w:ascii="Calibri" w:hAnsi="Calibri"/>
                <w:sz w:val="24"/>
                <w:lang w:val="en-US" w:eastAsia="en-US"/>
              </w:rPr>
              <w:t>„</w:t>
            </w:r>
            <w:r>
              <w:rPr>
                <w:rFonts w:eastAsia="Calibri" w:cs="" w:cstheme="minorBidi" w:eastAsiaTheme="minorHAnsi" w:ascii="Calibri" w:hAnsi="Calibri"/>
                <w:sz w:val="24"/>
                <w:lang w:val="en-US" w:eastAsia="en-US"/>
              </w:rPr>
              <w:t>zákon o verejnom obstarávaní“) je oprávnený nahradiť doklady požadované v ods. 2 až 4. čestným vyhlásení o zapísaní hospodárskeho subjektu do predmetného Zoznamu. Predložené čestné vyhlásenie musí obsahovať prehlásenie uchádzača, že skutočnosti dokladované v čase zápisu do tohto Zoznamu sú platné v lehote na prekladania ponúk a musí byť podpísané uchádzačom alebo osobou/osobami oprávnenými konať za uchádzača.</w:t>
            </w:r>
          </w:p>
        </w:tc>
      </w:tr>
    </w:tbl>
    <w:p>
      <w:pPr>
        <w:pStyle w:val="Normal"/>
        <w:spacing w:lineRule="auto" w:line="276"/>
        <w:jc w:val="both"/>
        <w:rPr>
          <w:rFonts w:ascii="Arial Narrow" w:hAnsi="Arial Narrow" w:cs="Calibri" w:cstheme="minorHAnsi"/>
        </w:rPr>
      </w:pPr>
      <w:r>
        <w:rPr>
          <w:b/>
        </w:rPr>
        <w:t xml:space="preserve"> </w:t>
      </w:r>
      <w:r>
        <w:rPr>
          <w:b/>
        </w:rPr>
        <w:t>4.2 Technická alebo odborná spôsobilosť</w:t>
      </w:r>
      <w:r>
        <w:rPr>
          <w:rFonts w:cs="Calibri" w:ascii="Arial Narrow" w:hAnsi="Arial Narrow" w:cstheme="minorHAnsi"/>
        </w:rPr>
        <w:t xml:space="preserve"> </w:t>
      </w:r>
    </w:p>
    <w:p>
      <w:pPr>
        <w:pStyle w:val="Normal"/>
        <w:spacing w:lineRule="auto" w:line="276"/>
        <w:jc w:val="both"/>
        <w:rPr>
          <w:rFonts w:ascii="Arial Narrow" w:hAnsi="Arial Narrow" w:cs="Calibri" w:cstheme="minorHAnsi"/>
        </w:rPr>
      </w:pPr>
      <w:r>
        <w:rPr>
          <w:rFonts w:cs="Calibri" w:cstheme="minorHAnsi" w:ascii="Arial Narrow" w:hAnsi="Arial Narrow"/>
        </w:rPr>
      </w:r>
    </w:p>
    <w:p>
      <w:pPr>
        <w:pStyle w:val="Normal"/>
        <w:spacing w:lineRule="auto" w:line="276"/>
        <w:jc w:val="both"/>
        <w:rPr>
          <w:rFonts w:ascii="Arial Narrow" w:hAnsi="Arial Narrow" w:cs="Calibri" w:cstheme="minorHAnsi"/>
        </w:rPr>
      </w:pPr>
      <w:r>
        <w:rPr>
          <w:rFonts w:cs="Calibri" w:ascii="Arial Narrow" w:hAnsi="Arial Narrow" w:cstheme="minorHAnsi"/>
        </w:rPr>
        <w:t xml:space="preserve">Uchádzač  predloží  referencie od jedného alebo niekoľkých užívateľov stavieb , ktorým Uchádzač uskutočnil stavebné práce obdobného charakteru , ako je predmet Zákazky , a to v období 5 rokov predchádzajúcich dňu odoslania ponuky Obstarávateľovi  </w:t>
      </w:r>
    </w:p>
    <w:p>
      <w:pPr>
        <w:pStyle w:val="Normal"/>
        <w:spacing w:lineRule="auto" w:line="276"/>
        <w:jc w:val="both"/>
        <w:rPr>
          <w:rFonts w:ascii="Arial Narrow" w:hAnsi="Arial Narrow" w:cs="Calibri" w:cstheme="minorHAnsi"/>
        </w:rPr>
      </w:pPr>
      <w:r>
        <w:rPr>
          <w:rFonts w:cs="Calibri" w:ascii="Arial Narrow" w:hAnsi="Arial Narrow" w:cstheme="minorHAnsi"/>
        </w:rPr>
        <w:t>1 referencia , ak preukáže realizáciu stavebných prác  v hodnote minimálne 95 %  PHZ – cca  190 000 € .</w:t>
      </w:r>
    </w:p>
    <w:p>
      <w:pPr>
        <w:pStyle w:val="Normal"/>
        <w:spacing w:lineRule="auto" w:line="276"/>
        <w:jc w:val="both"/>
        <w:rPr>
          <w:rFonts w:ascii="Arial Narrow" w:hAnsi="Arial Narrow" w:cs="Calibri" w:cstheme="minorHAnsi"/>
        </w:rPr>
      </w:pPr>
      <w:r>
        <w:rPr>
          <w:rFonts w:cs="Calibri" w:cstheme="minorHAnsi" w:ascii="Arial Narrow" w:hAnsi="Arial Narrow"/>
        </w:rPr>
      </w:r>
    </w:p>
    <w:p>
      <w:pPr>
        <w:pStyle w:val="Normal"/>
        <w:spacing w:lineRule="auto" w:line="276"/>
        <w:jc w:val="both"/>
        <w:rPr>
          <w:rFonts w:ascii="Arial Narrow" w:hAnsi="Arial Narrow" w:cs="Calibri" w:cstheme="minorHAnsi"/>
        </w:rPr>
      </w:pPr>
      <w:r>
        <w:rPr>
          <w:rFonts w:cs="Calibri" w:ascii="Arial Narrow" w:hAnsi="Arial Narrow" w:cstheme="minorHAnsi"/>
        </w:rPr>
        <w:t>Alebo 2 referencie , každá aspoň v hodnote 70 % PHZ. ( 140 000 € )</w:t>
      </w:r>
    </w:p>
    <w:p>
      <w:pPr>
        <w:pStyle w:val="Normal"/>
        <w:spacing w:lineRule="auto" w:line="276"/>
        <w:jc w:val="both"/>
        <w:rPr>
          <w:rFonts w:ascii="Arial Narrow" w:hAnsi="Arial Narrow" w:cs="Calibri" w:cstheme="minorHAnsi"/>
        </w:rPr>
      </w:pPr>
      <w:r>
        <w:rPr>
          <w:rFonts w:cs="Calibri" w:cstheme="minorHAnsi" w:ascii="Arial Narrow" w:hAnsi="Arial Narrow"/>
        </w:rPr>
      </w:r>
    </w:p>
    <w:p>
      <w:pPr>
        <w:pStyle w:val="Normal"/>
        <w:spacing w:lineRule="auto" w:line="276"/>
        <w:jc w:val="both"/>
        <w:rPr>
          <w:rFonts w:ascii="Arial Narrow" w:hAnsi="Arial Narrow" w:cs="Calibri" w:cstheme="minorHAnsi"/>
        </w:rPr>
      </w:pPr>
      <w:r>
        <w:rPr>
          <w:rFonts w:cs="Calibri" w:cstheme="minorHAnsi" w:ascii="Arial Narrow" w:hAnsi="Arial Narrow"/>
        </w:rPr>
      </w:r>
    </w:p>
    <w:p>
      <w:pPr>
        <w:pStyle w:val="Normal"/>
        <w:spacing w:lineRule="auto" w:line="276"/>
        <w:jc w:val="both"/>
        <w:rPr>
          <w:rFonts w:ascii="Arial Narrow" w:hAnsi="Arial Narrow" w:cs="Calibri" w:cstheme="minorHAnsi"/>
        </w:rPr>
      </w:pPr>
      <w:r>
        <w:rPr>
          <w:rFonts w:cs="Calibri" w:cstheme="minorHAnsi" w:ascii="Arial Narrow" w:hAnsi="Arial Narrow"/>
        </w:rPr>
      </w:r>
    </w:p>
    <w:p>
      <w:pPr>
        <w:pStyle w:val="Normal"/>
        <w:spacing w:lineRule="auto" w:line="276"/>
        <w:jc w:val="both"/>
        <w:rPr>
          <w:rFonts w:ascii="Arial Narrow" w:hAnsi="Arial Narrow" w:cs="Calibri" w:cstheme="minorHAnsi"/>
        </w:rPr>
      </w:pPr>
      <w:r>
        <w:rPr>
          <w:rFonts w:cs="Calibri" w:cstheme="minorHAnsi" w:ascii="Arial Narrow" w:hAnsi="Arial Narrow"/>
        </w:rPr>
      </w:r>
    </w:p>
    <w:p>
      <w:pPr>
        <w:pStyle w:val="Normal"/>
        <w:spacing w:lineRule="auto" w:line="276"/>
        <w:jc w:val="both"/>
        <w:rPr>
          <w:rFonts w:ascii="Arial Narrow" w:hAnsi="Arial Narrow" w:cs="Calibri" w:cstheme="minorHAnsi"/>
        </w:rPr>
      </w:pPr>
      <w:r>
        <w:rPr>
          <w:rFonts w:cs="Calibri" w:cstheme="minorHAnsi" w:ascii="Arial Narrow" w:hAnsi="Arial Narrow"/>
        </w:rPr>
      </w:r>
    </w:p>
    <w:p>
      <w:pPr>
        <w:pStyle w:val="Normal"/>
        <w:jc w:val="both"/>
        <w:rPr>
          <w:rFonts w:ascii="Arial Narrow" w:hAnsi="Arial Narrow"/>
        </w:rPr>
      </w:pPr>
      <w:r>
        <w:rPr>
          <w:rFonts w:ascii="Arial Narrow" w:hAnsi="Arial Narrow"/>
        </w:rPr>
      </w:r>
    </w:p>
    <w:p>
      <w:pPr>
        <w:pStyle w:val="Normal"/>
        <w:jc w:val="both"/>
        <w:rPr>
          <w:rFonts w:ascii="Arial Narrow" w:hAnsi="Arial Narrow" w:cs="Calibri" w:cstheme="minorHAnsi"/>
        </w:rPr>
      </w:pPr>
      <w:r>
        <w:rPr>
          <w:rFonts w:cs="Calibri" w:ascii="Arial Narrow" w:hAnsi="Arial Narrow" w:cstheme="minorHAnsi"/>
        </w:rPr>
        <w:t>5.Uchádzač, ktorý je oprávnený dodať predmet zákazky, predloží iba jednu cenovú ponuku.</w:t>
      </w:r>
    </w:p>
    <w:p>
      <w:pPr>
        <w:pStyle w:val="BodyText2"/>
        <w:ind w:left="360" w:hanging="0"/>
        <w:rPr>
          <w:rFonts w:ascii="Arial Narrow" w:hAnsi="Arial Narrow" w:cs="Calibri" w:cstheme="minorHAnsi"/>
          <w:b/>
          <w:b/>
          <w:u w:val="single"/>
        </w:rPr>
      </w:pPr>
      <w:r>
        <w:rPr>
          <w:rFonts w:cs="Calibri" w:ascii="Arial Narrow" w:hAnsi="Arial Narrow" w:cstheme="minorHAnsi"/>
        </w:rPr>
        <w:t xml:space="preserve">Ponuky sa predkladajú v písomnej forme v uzatvorenom obale poštou, v termíne do </w:t>
      </w:r>
      <w:r>
        <w:rPr>
          <w:rFonts w:cs="Calibri" w:ascii="Arial Narrow" w:hAnsi="Arial Narrow" w:cstheme="minorHAnsi"/>
          <w:b/>
          <w:u w:val="single"/>
        </w:rPr>
        <w:t>: 22.05.2020 do 14:00 hod. miestneho času.</w:t>
      </w:r>
    </w:p>
    <w:p>
      <w:pPr>
        <w:pStyle w:val="Default"/>
        <w:ind w:left="426" w:hanging="142"/>
        <w:rPr>
          <w:rFonts w:ascii="Arial Narrow" w:hAnsi="Arial Narrow" w:cs="Calibri" w:cstheme="minorHAnsi"/>
        </w:rPr>
      </w:pPr>
      <w:r>
        <w:rPr>
          <w:rFonts w:cs="Calibri" w:ascii="Arial Narrow" w:hAnsi="Arial Narrow" w:cstheme="minorHAnsi"/>
        </w:rPr>
        <w:t xml:space="preserve">  </w:t>
      </w:r>
      <w:r>
        <w:rPr>
          <w:rFonts w:cs="Calibri" w:ascii="Arial Narrow" w:hAnsi="Arial Narrow" w:cstheme="minorHAnsi"/>
        </w:rPr>
        <w:t>Adresa doručenia :  AGRO-SILVA,s.r.o. Okoličianska 741/65 031 04 Liptovský Mikuláš</w:t>
      </w:r>
    </w:p>
    <w:p>
      <w:pPr>
        <w:pStyle w:val="Default"/>
        <w:ind w:left="426" w:hanging="142"/>
        <w:rPr>
          <w:rFonts w:ascii="Arial Narrow" w:hAnsi="Arial Narrow" w:cs="Calibri" w:cstheme="minorHAnsi"/>
        </w:rPr>
      </w:pPr>
      <w:r>
        <w:rPr>
          <w:rFonts w:cs="Calibri" w:ascii="Arial Narrow" w:hAnsi="Arial Narrow" w:cstheme="minorHAnsi"/>
        </w:rPr>
        <w:t xml:space="preserve">Označenie obálky ponuky : </w:t>
      </w:r>
    </w:p>
    <w:p>
      <w:pPr>
        <w:pStyle w:val="BodyText2"/>
        <w:numPr>
          <w:ilvl w:val="0"/>
          <w:numId w:val="4"/>
        </w:numPr>
        <w:rPr>
          <w:rFonts w:ascii="Arial Narrow" w:hAnsi="Arial Narrow" w:cs="Calibri" w:cstheme="minorHAnsi"/>
        </w:rPr>
      </w:pPr>
      <w:r>
        <w:rPr>
          <w:rFonts w:cs="Calibri" w:ascii="Arial Narrow" w:hAnsi="Arial Narrow" w:cstheme="minorHAnsi"/>
        </w:rPr>
        <w:t>Adresa doručenia</w:t>
      </w:r>
    </w:p>
    <w:p>
      <w:pPr>
        <w:pStyle w:val="BodyText2"/>
        <w:numPr>
          <w:ilvl w:val="0"/>
          <w:numId w:val="4"/>
        </w:numPr>
        <w:rPr>
          <w:rFonts w:ascii="Arial Narrow" w:hAnsi="Arial Narrow" w:cs="Calibri" w:cstheme="minorHAnsi"/>
        </w:rPr>
      </w:pPr>
      <w:r>
        <w:rPr>
          <w:rFonts w:cs="Calibri" w:ascii="Arial Narrow" w:hAnsi="Arial Narrow" w:cstheme="minorHAnsi"/>
        </w:rPr>
        <w:t xml:space="preserve">Obchodné meno a sídlo, resp. miesto podnikania uchádzača </w:t>
      </w:r>
    </w:p>
    <w:p>
      <w:pPr>
        <w:pStyle w:val="BodyText2"/>
        <w:numPr>
          <w:ilvl w:val="0"/>
          <w:numId w:val="4"/>
        </w:numPr>
        <w:rPr>
          <w:rFonts w:ascii="Arial Narrow" w:hAnsi="Arial Narrow" w:cs="Calibri" w:cstheme="minorHAnsi"/>
        </w:rPr>
      </w:pPr>
      <w:r>
        <w:rPr>
          <w:rFonts w:cs="Calibri" w:ascii="Arial Narrow" w:hAnsi="Arial Narrow" w:cstheme="minorHAnsi"/>
        </w:rPr>
        <w:t xml:space="preserve">Označenie : </w:t>
      </w:r>
      <w:r>
        <w:rPr>
          <w:rFonts w:cs="Calibri" w:ascii="Arial Narrow" w:hAnsi="Arial Narrow" w:cstheme="minorHAnsi"/>
          <w:b/>
        </w:rPr>
        <w:t>„Súťaž  – Neotvárať“</w:t>
      </w:r>
    </w:p>
    <w:p>
      <w:pPr>
        <w:pStyle w:val="Normal"/>
        <w:numPr>
          <w:ilvl w:val="0"/>
          <w:numId w:val="0"/>
        </w:numPr>
        <w:shd w:val="clear" w:color="auto" w:fill="FFFFFF"/>
        <w:jc w:val="center"/>
        <w:outlineLvl w:val="0"/>
        <w:rPr>
          <w:b/>
          <w:b/>
          <w:bCs/>
          <w:kern w:val="2"/>
        </w:rPr>
      </w:pPr>
      <w:r>
        <w:rPr>
          <w:rFonts w:cs="Calibri" w:ascii="Arial Narrow" w:hAnsi="Arial Narrow" w:cstheme="minorHAnsi"/>
        </w:rPr>
        <w:t xml:space="preserve">Označenie heslom :  </w:t>
      </w:r>
      <w:r>
        <w:rPr>
          <w:b/>
          <w:bCs/>
          <w:kern w:val="2"/>
        </w:rPr>
        <w:t>„</w:t>
      </w:r>
      <w:r>
        <w:rPr>
          <w:b/>
          <w:bCs/>
        </w:rPr>
        <w:t xml:space="preserve"> Biotechnické opatrenia na toku Belinec v Kráľovej Lehote “</w:t>
      </w:r>
    </w:p>
    <w:p>
      <w:pPr>
        <w:pStyle w:val="Normal"/>
        <w:jc w:val="both"/>
        <w:rPr>
          <w:b/>
          <w:b/>
        </w:rPr>
      </w:pPr>
      <w:r>
        <w:rPr>
          <w:b/>
        </w:rPr>
      </w:r>
    </w:p>
    <w:p>
      <w:pPr>
        <w:pStyle w:val="Normal"/>
        <w:numPr>
          <w:ilvl w:val="0"/>
          <w:numId w:val="0"/>
        </w:numPr>
        <w:shd w:val="clear" w:color="auto" w:fill="FFFFFF"/>
        <w:jc w:val="center"/>
        <w:outlineLvl w:val="0"/>
        <w:rPr>
          <w:rFonts w:ascii="Arial Narrow" w:hAnsi="Arial Narrow" w:cs="Calibri" w:cstheme="minorHAnsi"/>
          <w:b/>
          <w:b/>
          <w:color w:val="FF0000"/>
          <w:u w:val="single"/>
        </w:rPr>
      </w:pPr>
      <w:r>
        <w:rPr>
          <w:rFonts w:cs="Calibri" w:cstheme="minorHAnsi" w:ascii="Arial Narrow" w:hAnsi="Arial Narrow"/>
          <w:b/>
          <w:color w:val="FF0000"/>
          <w:u w:val="single"/>
        </w:rPr>
      </w:r>
    </w:p>
    <w:p>
      <w:pPr>
        <w:pStyle w:val="BodyText2"/>
        <w:tabs>
          <w:tab w:val="left" w:pos="284" w:leader="none"/>
        </w:tabs>
        <w:ind w:left="284" w:hanging="284"/>
        <w:rPr>
          <w:rFonts w:ascii="Arial Narrow" w:hAnsi="Arial Narrow" w:cs="Calibri" w:cstheme="minorHAnsi"/>
        </w:rPr>
      </w:pPr>
      <w:r>
        <w:rPr>
          <w:rFonts w:cs="Calibri" w:ascii="Arial Narrow" w:hAnsi="Arial Narrow" w:cstheme="minorHAnsi"/>
          <w:b/>
          <w:bCs/>
        </w:rPr>
        <w:t xml:space="preserve"> </w:t>
      </w:r>
      <w:r>
        <w:rPr>
          <w:rFonts w:cs="Calibri" w:ascii="Arial Narrow" w:hAnsi="Arial Narrow" w:cstheme="minorHAnsi"/>
          <w:b/>
          <w:bCs/>
        </w:rPr>
        <w:t>6  Ponuka predložená uchádzačom musí obsahovať:</w:t>
      </w:r>
      <w:r>
        <w:rPr>
          <w:rFonts w:cs="Calibri" w:ascii="Arial Narrow" w:hAnsi="Arial Narrow" w:cstheme="minorHAnsi"/>
        </w:rPr>
        <w:t xml:space="preserve"> </w:t>
      </w:r>
    </w:p>
    <w:p>
      <w:pPr>
        <w:pStyle w:val="BodyText2"/>
        <w:numPr>
          <w:ilvl w:val="0"/>
          <w:numId w:val="3"/>
        </w:numPr>
        <w:tabs>
          <w:tab w:val="left" w:pos="284" w:leader="none"/>
        </w:tabs>
        <w:rPr>
          <w:rFonts w:ascii="Arial Narrow" w:hAnsi="Arial Narrow" w:cs="Calibri" w:cstheme="minorHAnsi"/>
        </w:rPr>
      </w:pPr>
      <w:r>
        <w:rPr>
          <w:rFonts w:cs="Calibri" w:ascii="Arial Narrow" w:hAnsi="Arial Narrow" w:cstheme="minorHAnsi"/>
          <w:b/>
        </w:rPr>
        <w:t xml:space="preserve"> </w:t>
      </w:r>
      <w:r>
        <w:rPr>
          <w:rFonts w:cs="Calibri" w:ascii="Arial Narrow" w:hAnsi="Arial Narrow" w:cstheme="minorHAnsi"/>
          <w:b/>
        </w:rPr>
        <w:t>Návrh ceny</w:t>
      </w:r>
      <w:r>
        <w:rPr>
          <w:rFonts w:cs="Calibri" w:ascii="Arial Narrow" w:hAnsi="Arial Narrow" w:cstheme="minorHAnsi"/>
        </w:rPr>
        <w:t xml:space="preserve">  podľa vzoru </w:t>
      </w:r>
      <w:r>
        <w:rPr>
          <w:rFonts w:cs="Calibri" w:ascii="Arial Narrow" w:hAnsi="Arial Narrow" w:cstheme="minorHAnsi"/>
          <w:b/>
        </w:rPr>
        <w:t>prílohy č.1.,</w:t>
      </w:r>
      <w:r>
        <w:rPr>
          <w:rFonts w:cs="Calibri" w:ascii="Arial Narrow" w:hAnsi="Arial Narrow" w:cstheme="minorHAnsi"/>
        </w:rPr>
        <w:t xml:space="preserve"> t.j. cena musí byť uvedená   bez DPH, DPH20% a s DPH, ak uchádzač nie je platcom DPH uvedie to v cenovej ponuke.  V návrhu na plnenie kritéria uvedie uchádzač aj telefonický a emailový kontakt, zodpovednú osobu ,   identifikačné údaje a tento návrh musí byť podpísaný uchádzačom </w:t>
      </w:r>
    </w:p>
    <w:p>
      <w:pPr>
        <w:pStyle w:val="BodyText2"/>
        <w:numPr>
          <w:ilvl w:val="0"/>
          <w:numId w:val="3"/>
        </w:numPr>
        <w:tabs>
          <w:tab w:val="left" w:pos="284" w:leader="none"/>
        </w:tabs>
        <w:rPr>
          <w:rFonts w:ascii="Arial Narrow" w:hAnsi="Arial Narrow" w:cs="Calibri" w:cstheme="minorHAnsi"/>
        </w:rPr>
      </w:pPr>
      <w:r>
        <w:rPr>
          <w:rFonts w:cs="Calibri" w:ascii="Arial Narrow" w:hAnsi="Arial Narrow" w:cstheme="minorHAnsi"/>
          <w:b/>
        </w:rPr>
        <w:t>Ocenený výkaz výmer</w:t>
      </w:r>
      <w:r>
        <w:rPr>
          <w:rFonts w:cs="Calibri" w:ascii="Arial Narrow" w:hAnsi="Arial Narrow" w:cstheme="minorHAnsi"/>
        </w:rPr>
        <w:t xml:space="preserve"> – Rozpočet</w:t>
      </w:r>
    </w:p>
    <w:p>
      <w:pPr>
        <w:pStyle w:val="BodyText2"/>
        <w:tabs>
          <w:tab w:val="left" w:pos="284" w:leader="none"/>
        </w:tabs>
        <w:ind w:left="720" w:hanging="0"/>
        <w:rPr>
          <w:rFonts w:ascii="Arial Narrow" w:hAnsi="Arial Narrow" w:cs="Calibri" w:cstheme="minorHAnsi"/>
        </w:rPr>
      </w:pPr>
      <w:r>
        <w:rPr>
          <w:rFonts w:cs="Calibri" w:cstheme="minorHAnsi" w:ascii="Arial Narrow" w:hAnsi="Arial Narrow"/>
        </w:rPr>
      </w:r>
    </w:p>
    <w:p>
      <w:pPr>
        <w:pStyle w:val="BodyText2"/>
        <w:tabs>
          <w:tab w:val="left" w:pos="284" w:leader="none"/>
        </w:tabs>
        <w:ind w:left="720" w:hanging="0"/>
        <w:rPr>
          <w:rFonts w:ascii="Arial Narrow" w:hAnsi="Arial Narrow" w:cs="Calibri" w:cstheme="minorHAnsi"/>
        </w:rPr>
      </w:pPr>
      <w:r>
        <w:rPr>
          <w:rFonts w:cs="Calibri" w:cstheme="minorHAnsi" w:ascii="Arial Narrow" w:hAnsi="Arial Narrow"/>
        </w:rPr>
      </w:r>
    </w:p>
    <w:p>
      <w:pPr>
        <w:pStyle w:val="Normal"/>
        <w:tabs>
          <w:tab w:val="left" w:pos="284" w:leader="none"/>
        </w:tabs>
        <w:spacing w:lineRule="auto" w:line="276"/>
        <w:ind w:left="284" w:hanging="284"/>
        <w:jc w:val="both"/>
        <w:rPr>
          <w:rFonts w:ascii="Calibri" w:hAnsi="Calibri" w:cs="Calibri" w:asciiTheme="minorHAnsi" w:cstheme="minorHAnsi" w:hAnsiTheme="minorHAnsi"/>
        </w:rPr>
      </w:pPr>
      <w:r>
        <w:rPr>
          <w:rFonts w:cs="Calibri" w:cstheme="minorHAnsi" w:ascii="Calibri" w:hAnsi="Calibri"/>
        </w:rPr>
      </w:r>
    </w:p>
    <w:p>
      <w:pPr>
        <w:pStyle w:val="BodyText2"/>
        <w:rPr>
          <w:rFonts w:ascii="Arial Narrow" w:hAnsi="Arial Narrow" w:cs="Calibri" w:cstheme="minorHAnsi"/>
          <w:b/>
          <w:b/>
        </w:rPr>
      </w:pPr>
      <w:r>
        <w:rPr>
          <w:rFonts w:cs="Calibri" w:ascii="Arial Narrow" w:hAnsi="Arial Narrow" w:cstheme="minorHAnsi"/>
          <w:b/>
        </w:rPr>
        <w:t>7 . Otváranie obálok s ponukami a vyhodnotenie ponúk:</w:t>
      </w:r>
    </w:p>
    <w:p>
      <w:pPr>
        <w:pStyle w:val="BodyText2"/>
        <w:ind w:left="426" w:hanging="0"/>
        <w:rPr>
          <w:rFonts w:ascii="Arial Narrow" w:hAnsi="Arial Narrow" w:cs="Calibri" w:cstheme="minorHAnsi"/>
          <w:b/>
          <w:b/>
        </w:rPr>
      </w:pPr>
      <w:r>
        <w:rPr>
          <w:rFonts w:cs="Calibri" w:ascii="Arial Narrow" w:hAnsi="Arial Narrow" w:cstheme="minorHAnsi"/>
        </w:rPr>
        <w:t xml:space="preserve">Otváranie  obálok  a vyhodnotenie ponúk  sa  uskutoční  dňa </w:t>
      </w:r>
      <w:r>
        <w:rPr>
          <w:rFonts w:cs="Calibri" w:ascii="Arial Narrow" w:hAnsi="Arial Narrow" w:cstheme="minorHAnsi"/>
          <w:b/>
        </w:rPr>
        <w:t> </w:t>
      </w:r>
      <w:r>
        <w:rPr>
          <w:rFonts w:cs="Calibri" w:ascii="Arial Narrow" w:hAnsi="Arial Narrow" w:cstheme="minorHAnsi"/>
          <w:b/>
          <w:u w:val="single"/>
        </w:rPr>
        <w:t>22.05.2020 o 15.00 hod.</w:t>
      </w:r>
      <w:r>
        <w:rPr>
          <w:rFonts w:cs="Calibri" w:ascii="Arial Narrow" w:hAnsi="Arial Narrow" w:cstheme="minorHAnsi"/>
          <w:color w:val="FF0000"/>
        </w:rPr>
        <w:t xml:space="preserve"> </w:t>
      </w:r>
      <w:r>
        <w:rPr>
          <w:rFonts w:cs="Calibri" w:ascii="Arial Narrow" w:hAnsi="Arial Narrow" w:cstheme="minorHAnsi"/>
        </w:rPr>
        <w:t>na adrese</w:t>
      </w:r>
      <w:r>
        <w:rPr>
          <w:rFonts w:cs="Calibri" w:ascii="Arial Narrow" w:hAnsi="Arial Narrow" w:cstheme="minorHAnsi"/>
          <w:b/>
        </w:rPr>
        <w:t xml:space="preserve">  AGRO-SILVA,s.r.o.. </w:t>
      </w:r>
    </w:p>
    <w:p>
      <w:pPr>
        <w:pStyle w:val="BodyText2"/>
        <w:rPr>
          <w:rFonts w:ascii="Calibri" w:hAnsi="Calibri" w:cs="Calibri" w:asciiTheme="minorHAnsi" w:cstheme="minorHAnsi" w:hAnsiTheme="minorHAnsi"/>
        </w:rPr>
      </w:pPr>
      <w:r>
        <w:rPr>
          <w:rFonts w:cs="Calibri" w:cstheme="minorHAnsi" w:ascii="Calibri" w:hAnsi="Calibri"/>
        </w:rPr>
      </w:r>
    </w:p>
    <w:p>
      <w:pPr>
        <w:pStyle w:val="BodyText2"/>
        <w:ind w:left="426" w:hanging="426"/>
        <w:rPr>
          <w:rFonts w:ascii="Arial Narrow" w:hAnsi="Arial Narrow" w:cs="Calibri" w:cstheme="minorHAnsi"/>
          <w:b/>
          <w:b/>
        </w:rPr>
      </w:pPr>
      <w:r>
        <w:rPr>
          <w:rFonts w:cs="Calibri" w:ascii="Arial Narrow" w:hAnsi="Arial Narrow" w:cstheme="minorHAnsi"/>
          <w:b/>
        </w:rPr>
        <w:t>8.  Kritéria na vyhodnotenie ponúk a pravidlo ich uplatnenia:</w:t>
      </w:r>
    </w:p>
    <w:p>
      <w:pPr>
        <w:pStyle w:val="BodyText2"/>
        <w:ind w:left="426" w:hanging="426"/>
        <w:rPr>
          <w:rFonts w:ascii="Arial Narrow" w:hAnsi="Arial Narrow" w:cs="Calibri" w:cstheme="minorHAnsi"/>
          <w:b/>
          <w:b/>
          <w:u w:val="single"/>
        </w:rPr>
      </w:pPr>
      <w:r>
        <w:rPr>
          <w:rFonts w:cs="Calibri" w:ascii="Arial Narrow" w:hAnsi="Arial Narrow" w:cstheme="minorHAnsi"/>
          <w:color w:val="FF0000"/>
        </w:rPr>
        <w:t xml:space="preserve">       </w:t>
      </w:r>
      <w:r>
        <w:rPr>
          <w:rFonts w:cs="Calibri" w:ascii="Arial Narrow" w:hAnsi="Arial Narrow" w:cstheme="minorHAnsi"/>
        </w:rPr>
        <w:t xml:space="preserve">Vyhodnotenie vykoná komisia  a jediným kritériom je </w:t>
      </w:r>
      <w:r>
        <w:rPr>
          <w:rFonts w:cs="Calibri" w:ascii="Arial Narrow" w:hAnsi="Arial Narrow" w:cstheme="minorHAnsi"/>
          <w:b/>
          <w:u w:val="single"/>
        </w:rPr>
        <w:t>cena.</w:t>
      </w:r>
    </w:p>
    <w:p>
      <w:pPr>
        <w:pStyle w:val="TextBody"/>
        <w:spacing w:before="0" w:after="0"/>
        <w:ind w:left="426" w:hanging="426"/>
        <w:jc w:val="both"/>
        <w:rPr>
          <w:rFonts w:ascii="Arial Narrow" w:hAnsi="Arial Narrow" w:cs="Calibri" w:cstheme="minorHAnsi"/>
        </w:rPr>
      </w:pPr>
      <w:r>
        <w:rPr>
          <w:rFonts w:cs="Calibri" w:ascii="Arial Narrow" w:hAnsi="Arial Narrow" w:cstheme="minorHAnsi"/>
        </w:rPr>
        <w:t xml:space="preserve">       </w:t>
      </w:r>
      <w:r>
        <w:rPr>
          <w:rFonts w:cs="Calibri" w:ascii="Arial Narrow" w:hAnsi="Arial Narrow" w:cstheme="minorHAnsi"/>
        </w:rPr>
        <w:t xml:space="preserve">Do hodnotenia budú zaradené len také ponuky, ktoré splnili  podmienky účasti, požiadavky na obsah ponuky v súlade s bodom 4 / tejto výzvy. </w:t>
      </w:r>
    </w:p>
    <w:p>
      <w:pPr>
        <w:pStyle w:val="TextBody"/>
        <w:spacing w:before="0" w:after="0"/>
        <w:ind w:left="426" w:hanging="426"/>
        <w:jc w:val="both"/>
        <w:rPr>
          <w:rFonts w:ascii="Arial Narrow" w:hAnsi="Arial Narrow" w:cs="Calibri" w:cstheme="minorHAnsi"/>
        </w:rPr>
      </w:pPr>
      <w:r>
        <w:rPr>
          <w:rFonts w:cs="Calibri" w:ascii="Arial Narrow" w:hAnsi="Arial Narrow" w:cstheme="minorHAnsi"/>
        </w:rPr>
        <w:t xml:space="preserve">       </w:t>
      </w:r>
      <w:r>
        <w:rPr>
          <w:rFonts w:cs="Calibri" w:ascii="Arial Narrow" w:hAnsi="Arial Narrow" w:cstheme="minorHAnsi"/>
        </w:rPr>
        <w:t>Pri uchádzačoch, ktorí nie sú platcami DPH bude hodnotená celková cena zákazky bez DPH a pri uchádzačoch, ktorí sú platcami DPH bude hodnotená cena zákazky vrátane DPH.</w:t>
      </w:r>
    </w:p>
    <w:p>
      <w:pPr>
        <w:pStyle w:val="TextBody"/>
        <w:spacing w:before="0" w:after="0"/>
        <w:ind w:left="426" w:hanging="426"/>
        <w:jc w:val="both"/>
        <w:rPr>
          <w:rFonts w:ascii="Arial Narrow" w:hAnsi="Arial Narrow" w:cs="Calibri" w:cstheme="minorHAnsi"/>
        </w:rPr>
      </w:pPr>
      <w:r>
        <w:rPr>
          <w:rFonts w:cs="Calibri" w:cstheme="minorHAnsi" w:ascii="Arial Narrow" w:hAnsi="Arial Narrow"/>
        </w:rPr>
      </w:r>
    </w:p>
    <w:p>
      <w:pPr>
        <w:pStyle w:val="Normal"/>
        <w:numPr>
          <w:ilvl w:val="0"/>
          <w:numId w:val="0"/>
        </w:numPr>
        <w:ind w:left="426" w:hanging="426"/>
        <w:jc w:val="both"/>
        <w:outlineLvl w:val="2"/>
        <w:rPr>
          <w:rFonts w:ascii="Arial Narrow" w:hAnsi="Arial Narrow" w:cs="Calibri" w:cstheme="minorHAnsi"/>
          <w:b/>
          <w:b/>
        </w:rPr>
      </w:pPr>
      <w:r>
        <w:rPr>
          <w:rFonts w:cs="Calibri" w:ascii="Arial Narrow" w:hAnsi="Arial Narrow" w:cstheme="minorHAnsi"/>
          <w:b/>
        </w:rPr>
        <w:t xml:space="preserve">       </w:t>
      </w:r>
      <w:r>
        <w:rPr>
          <w:rFonts w:cs="Calibri" w:ascii="Arial Narrow" w:hAnsi="Arial Narrow" w:cstheme="minorHAnsi"/>
          <w:u w:val="single"/>
        </w:rPr>
        <w:t>Hodnotenie ponúk podľa stanoveného kritéria</w:t>
      </w:r>
      <w:r>
        <w:rPr>
          <w:rFonts w:cs="Calibri" w:ascii="Arial Narrow" w:hAnsi="Arial Narrow" w:cstheme="minorHAnsi"/>
          <w:b/>
        </w:rPr>
        <w:t xml:space="preserve">: </w:t>
      </w:r>
      <w:r>
        <w:rPr>
          <w:rFonts w:cs="Calibri" w:ascii="Arial Narrow" w:hAnsi="Arial Narrow" w:cstheme="minorHAnsi"/>
        </w:rPr>
        <w:t xml:space="preserve">Ponuke s najnižšou celkovou cenou bude určené prvé poradie – úspešný uchádzač. Ostatné ponuky budú zaradené do poradia podľa výšky ponúknutej celkovej ceny (druhé poradie, atď.) a budú kvalifikované ako neúspešné. </w:t>
      </w:r>
    </w:p>
    <w:p>
      <w:pPr>
        <w:pStyle w:val="TextBody"/>
        <w:spacing w:before="0" w:after="0"/>
        <w:ind w:left="426" w:hanging="0"/>
        <w:jc w:val="both"/>
        <w:rPr>
          <w:rFonts w:ascii="Arial Narrow" w:hAnsi="Arial Narrow" w:cs="Calibri" w:cstheme="minorHAnsi"/>
        </w:rPr>
      </w:pPr>
      <w:r>
        <w:rPr>
          <w:rFonts w:cs="Calibri" w:cstheme="minorHAnsi" w:ascii="Arial Narrow" w:hAnsi="Arial Narrow"/>
        </w:rPr>
      </w:r>
    </w:p>
    <w:p>
      <w:pPr>
        <w:pStyle w:val="BodyText2"/>
        <w:spacing w:lineRule="auto" w:line="276"/>
        <w:ind w:left="709" w:hanging="709"/>
        <w:rPr>
          <w:rFonts w:ascii="Arial Narrow" w:hAnsi="Arial Narrow" w:cs="Calibri" w:cstheme="minorHAnsi"/>
        </w:rPr>
      </w:pPr>
      <w:r>
        <w:rPr>
          <w:rFonts w:cs="Calibri" w:cstheme="minorHAnsi" w:ascii="Arial Narrow" w:hAnsi="Arial Narrow"/>
        </w:rPr>
      </w:r>
    </w:p>
    <w:p>
      <w:pPr>
        <w:pStyle w:val="BodyText2"/>
        <w:ind w:left="851" w:hanging="425"/>
        <w:rPr>
          <w:rFonts w:ascii="Arial Narrow" w:hAnsi="Arial Narrow" w:cs="Calibri" w:cstheme="minorHAnsi"/>
        </w:rPr>
      </w:pPr>
      <w:r>
        <w:rPr>
          <w:rFonts w:cs="Calibri" w:ascii="Arial Narrow" w:hAnsi="Arial Narrow" w:cstheme="minorHAnsi"/>
        </w:rPr>
        <w:t xml:space="preserve"> </w:t>
      </w:r>
    </w:p>
    <w:p>
      <w:pPr>
        <w:pStyle w:val="BodyText2"/>
        <w:spacing w:lineRule="auto" w:line="276"/>
        <w:ind w:left="709" w:hanging="709"/>
        <w:rPr>
          <w:rFonts w:ascii="Arial Narrow" w:hAnsi="Arial Narrow" w:cs="Calibri" w:cstheme="minorHAnsi"/>
          <w:b/>
          <w:b/>
        </w:rPr>
      </w:pPr>
      <w:r>
        <w:rPr>
          <w:rFonts w:cs="Calibri" w:ascii="Arial Narrow" w:hAnsi="Arial Narrow" w:cstheme="minorHAnsi"/>
          <w:b/>
        </w:rPr>
        <w:t xml:space="preserve">. Podmienky verejného obstarávateľa: </w:t>
      </w:r>
    </w:p>
    <w:p>
      <w:pPr>
        <w:pStyle w:val="BodyText2"/>
        <w:numPr>
          <w:ilvl w:val="0"/>
          <w:numId w:val="5"/>
        </w:numPr>
        <w:ind w:left="851" w:hanging="425"/>
        <w:rPr>
          <w:rFonts w:ascii="Arial Narrow" w:hAnsi="Arial Narrow" w:cs="Calibri" w:cstheme="minorHAnsi"/>
        </w:rPr>
      </w:pPr>
      <w:r>
        <w:rPr>
          <w:rFonts w:cs="Calibri" w:ascii="Arial Narrow" w:hAnsi="Arial Narrow" w:cstheme="minorHAnsi"/>
        </w:rPr>
        <w:t>Všetky náklady a výdavky spojené s prípravou, predložením cenovej ponuky, ,  znáša uchádzač bez finančného nároku voči verejnému obstarávateľovi a bez ohľadu na výsledky . Ponuky doručené na adresu verejného obstarávateľa v zmysle súťažných podmienok v lehote na predkladanie ponúk sa uchádzačom nevracajú. Zostávajú ako súčasť dokumentácie verejného obstarávania  .</w:t>
      </w:r>
    </w:p>
    <w:p>
      <w:pPr>
        <w:pStyle w:val="BodyText2"/>
        <w:ind w:left="851" w:hanging="425"/>
        <w:rPr>
          <w:rFonts w:ascii="Arial Narrow" w:hAnsi="Arial Narrow" w:cs="Calibri" w:cstheme="minorHAnsi"/>
        </w:rPr>
      </w:pPr>
      <w:r>
        <w:rPr>
          <w:rFonts w:cs="Calibri" w:ascii="Arial Narrow" w:hAnsi="Arial Narrow" w:cstheme="minorHAnsi"/>
        </w:rPr>
        <w:t>b.)  Obstarávateľ si vyhradzuje právo súťaž nevyhodnocovať a zrušiť ju, ak ani jeden uchádzač nedoručil ponuku, ani jedna z predložených ponúk nezodpovedá požiadavkám určených  obstarávateľom, ak sa podstatne zmenili okolnosti, za ktorých bola súťaž vyhlásená a nebolo možné ich predvídať alebo  ak bude predložená iba jedna ponuka</w:t>
      </w:r>
    </w:p>
    <w:p>
      <w:pPr>
        <w:pStyle w:val="TableParagraph"/>
        <w:spacing w:before="8" w:after="0"/>
        <w:ind w:left="559" w:right="100" w:hanging="455"/>
        <w:jc w:val="both"/>
        <w:rPr/>
      </w:pPr>
      <w:r>
        <w:rPr>
          <w:rFonts w:cs="Calibri" w:ascii="Arial Narrow" w:hAnsi="Arial Narrow" w:cstheme="minorHAnsi"/>
        </w:rPr>
        <w:t xml:space="preserve">  </w:t>
      </w:r>
      <w:r>
        <w:rPr>
          <w:rFonts w:cs="Calibri" w:ascii="Arial Narrow" w:hAnsi="Arial Narrow" w:cstheme="minorHAnsi"/>
        </w:rPr>
        <w:t>c.)   Obstarávateľ môže požiadať uchádzača o vysvetlenie ponuky</w:t>
      </w:r>
      <w:r>
        <w:rPr/>
        <w:t xml:space="preserve"> </w:t>
      </w:r>
    </w:p>
    <w:p>
      <w:pPr>
        <w:pStyle w:val="TableParagraph"/>
        <w:spacing w:before="8" w:after="0"/>
        <w:ind w:left="559" w:right="100" w:hanging="455"/>
        <w:jc w:val="both"/>
        <w:rPr>
          <w:rFonts w:ascii="Arial Narrow" w:hAnsi="Arial Narrow" w:cs="Calibri" w:cstheme="minorHAnsi"/>
          <w:sz w:val="24"/>
          <w:szCs w:val="24"/>
          <w:lang w:val="sk-SK" w:eastAsia="cs-CZ"/>
        </w:rPr>
      </w:pPr>
      <w:r>
        <w:rPr/>
        <w:t xml:space="preserve">  </w:t>
      </w:r>
      <w:r>
        <w:rPr/>
        <w:t xml:space="preserve">d.) </w:t>
      </w:r>
      <w:r>
        <w:rPr>
          <w:sz w:val="24"/>
        </w:rPr>
        <w:t xml:space="preserve"> </w:t>
      </w:r>
      <w:r>
        <w:rPr>
          <w:rFonts w:cs="Calibri" w:ascii="Arial Narrow" w:hAnsi="Arial Narrow" w:cstheme="minorHAnsi"/>
          <w:sz w:val="24"/>
          <w:szCs w:val="24"/>
          <w:lang w:val="sk-SK" w:eastAsia="cs-CZ"/>
        </w:rPr>
        <w:t>prípade skupiny dodávateľov musí byť súčasťou ponuky aj osobitné písomné splnomocnenie pre člena skupiny dodávateľov, ktorý má právnu subjektivitu, na komunikáciu s Vyhlasovateľom v mene skupiny dodávateľov a právne úkony v mene skupiny dodávateľov v rámci celého procesu obstarávania. Úkony splnomocneného zástupcu za skupinu dodávateľov budú voči obstarávateľovi záväzné. Písomné splnomocnenie musí byť podpísané všetkými členmi skupiny dodávateľov.</w:t>
      </w:r>
    </w:p>
    <w:p>
      <w:pPr>
        <w:pStyle w:val="BodyText2"/>
        <w:ind w:left="851" w:hanging="425"/>
        <w:rPr>
          <w:rFonts w:ascii="Arial Narrow" w:hAnsi="Arial Narrow" w:cs="Calibri" w:cstheme="minorHAnsi"/>
        </w:rPr>
      </w:pPr>
      <w:r>
        <w:rPr>
          <w:rFonts w:cs="Calibri" w:cstheme="minorHAnsi" w:ascii="Arial Narrow" w:hAnsi="Arial Narrow"/>
        </w:rPr>
      </w:r>
    </w:p>
    <w:p>
      <w:pPr>
        <w:pStyle w:val="BodyText2"/>
        <w:ind w:left="851" w:hanging="425"/>
        <w:rPr>
          <w:rFonts w:ascii="Arial Narrow" w:hAnsi="Arial Narrow" w:cs="Calibri" w:cstheme="minorHAnsi"/>
        </w:rPr>
      </w:pPr>
      <w:r>
        <w:rPr>
          <w:rFonts w:cs="Calibri" w:ascii="Arial Narrow" w:hAnsi="Arial Narrow" w:cstheme="minorHAnsi"/>
        </w:rPr>
        <w:t xml:space="preserve"> </w:t>
      </w:r>
    </w:p>
    <w:p>
      <w:pPr>
        <w:pStyle w:val="BodyText2"/>
        <w:ind w:left="426" w:hanging="426"/>
        <w:rPr>
          <w:rFonts w:ascii="Arial Narrow" w:hAnsi="Arial Narrow" w:cs="Calibri" w:cstheme="minorHAnsi"/>
          <w:bCs/>
        </w:rPr>
      </w:pPr>
      <w:r>
        <w:rPr>
          <w:rFonts w:cs="Calibri" w:ascii="Arial Narrow" w:hAnsi="Arial Narrow" w:cstheme="minorHAnsi"/>
          <w:b/>
          <w:bCs/>
        </w:rPr>
        <w:t xml:space="preserve">10.  Zmluvný vzťah – </w:t>
      </w:r>
      <w:r>
        <w:rPr>
          <w:rFonts w:cs="Calibri" w:ascii="Arial Narrow" w:hAnsi="Arial Narrow" w:cstheme="minorHAnsi"/>
          <w:bCs/>
        </w:rPr>
        <w:t xml:space="preserve">po vyhodnotení ponúk bude všetkým uchádzačom emailom a takisto aj poštou  odoslané oznámenie o výsledku vyhodnotenia. </w:t>
      </w:r>
    </w:p>
    <w:p>
      <w:pPr>
        <w:pStyle w:val="BodyText2"/>
        <w:ind w:left="709" w:hanging="709"/>
        <w:rPr>
          <w:rFonts w:ascii="Arial Narrow" w:hAnsi="Arial Narrow" w:cs="Calibri" w:cstheme="minorHAnsi"/>
          <w:bCs/>
        </w:rPr>
      </w:pPr>
      <w:r>
        <w:rPr>
          <w:rFonts w:cs="Calibri" w:ascii="Arial Narrow" w:hAnsi="Arial Narrow" w:cstheme="minorHAnsi"/>
          <w:b/>
          <w:bCs/>
        </w:rPr>
        <w:t xml:space="preserve">       </w:t>
      </w:r>
      <w:r>
        <w:rPr>
          <w:rFonts w:cs="Calibri" w:ascii="Arial Narrow" w:hAnsi="Arial Narrow" w:cstheme="minorHAnsi"/>
          <w:bCs/>
        </w:rPr>
        <w:t xml:space="preserve">Výsledkom predloženia cenových ponúk  </w:t>
      </w:r>
      <w:r>
        <w:rPr>
          <w:rFonts w:cs="Calibri" w:ascii="Arial Narrow" w:hAnsi="Arial Narrow" w:cstheme="minorHAnsi"/>
          <w:bCs/>
          <w:u w:val="single"/>
        </w:rPr>
        <w:t>bude uzavretie zmluvy s úspešným uchádzačom</w:t>
      </w:r>
      <w:r>
        <w:rPr>
          <w:rFonts w:cs="Calibri" w:ascii="Arial Narrow" w:hAnsi="Arial Narrow" w:cstheme="minorHAnsi"/>
          <w:bCs/>
        </w:rPr>
        <w:t xml:space="preserve">. </w:t>
      </w:r>
    </w:p>
    <w:p>
      <w:pPr>
        <w:pStyle w:val="BodyText2"/>
        <w:numPr>
          <w:ilvl w:val="0"/>
          <w:numId w:val="4"/>
        </w:numPr>
        <w:ind w:left="709" w:hanging="283"/>
        <w:rPr>
          <w:rFonts w:ascii="Arial Narrow" w:hAnsi="Arial Narrow" w:cs="Calibri" w:cstheme="minorHAnsi"/>
          <w:bCs/>
        </w:rPr>
      </w:pPr>
      <w:r>
        <w:rPr>
          <w:rFonts w:cs="Calibri" w:ascii="Arial Narrow" w:hAnsi="Arial Narrow" w:cstheme="minorHAnsi"/>
          <w:bCs/>
        </w:rPr>
        <w:t>Obstarávateľ odošle návrh zmluvy o dielo úspešnému uchádzačovi na pripomienkovanie a konateľ  spoločnosti  telefonicky dohodne</w:t>
      </w:r>
      <w:r>
        <w:rPr>
          <w:rFonts w:cs="Calibri" w:ascii="Arial Narrow" w:hAnsi="Arial Narrow" w:cstheme="minorHAnsi"/>
          <w:b/>
          <w:bCs/>
        </w:rPr>
        <w:t xml:space="preserve">  </w:t>
      </w:r>
      <w:r>
        <w:rPr>
          <w:rFonts w:cs="Calibri" w:ascii="Arial Narrow" w:hAnsi="Arial Narrow" w:cstheme="minorHAnsi"/>
          <w:bCs/>
        </w:rPr>
        <w:t>s úspešným uchádzačom súčinnosť s podpisom zmluvy.</w:t>
      </w:r>
    </w:p>
    <w:p>
      <w:pPr>
        <w:pStyle w:val="BodyText2"/>
        <w:numPr>
          <w:ilvl w:val="0"/>
          <w:numId w:val="4"/>
        </w:numPr>
        <w:ind w:left="709" w:hanging="283"/>
        <w:rPr>
          <w:rFonts w:ascii="Arial Narrow" w:hAnsi="Arial Narrow" w:cs="Calibri" w:cstheme="minorHAnsi"/>
          <w:i/>
          <w:i/>
        </w:rPr>
      </w:pPr>
      <w:r>
        <w:rPr>
          <w:rFonts w:cs="Calibri" w:ascii="Arial Narrow" w:hAnsi="Arial Narrow" w:cstheme="minorHAnsi"/>
          <w:bCs/>
        </w:rPr>
        <w:t>Zmluva bude uzavretá v súlade s podmienkami týchto súťažných podkladov a ponukou úspešného uchádzača.</w:t>
      </w:r>
    </w:p>
    <w:p>
      <w:pPr>
        <w:pStyle w:val="BodyText2"/>
        <w:numPr>
          <w:ilvl w:val="0"/>
          <w:numId w:val="4"/>
        </w:numPr>
        <w:ind w:left="709" w:hanging="283"/>
        <w:rPr>
          <w:rFonts w:ascii="Arial Narrow" w:hAnsi="Arial Narrow" w:cs="Calibri" w:cstheme="minorHAnsi"/>
          <w:i/>
          <w:i/>
        </w:rPr>
      </w:pPr>
      <w:r>
        <w:rPr>
          <w:rFonts w:cs="Calibri" w:ascii="Arial Narrow" w:hAnsi="Arial Narrow" w:cstheme="minorHAnsi"/>
          <w:bCs/>
        </w:rPr>
        <w:t xml:space="preserve">Zmluva bude uzatvorená v súlade s §536 a násl. Obchodného zákonníka č. 513/1991 Zb. v platnom znení v súlade s podmienkami týchto súťažných podkladov a ponukou úspešného uchádzača. Úspešný uchádzač berie na vedomie, že verejný obstarávateľ je povinný v zmysle zákona č. 343/2015 Z. z. o verejnom obstarávaní a zákona č. 211/2000 Z. z. o slobode informácií povinný zverejniť uzavretú zmluvu o dielo. Úspešný uchádzač pri podpise zmluvy doloží originál dokladu </w:t>
      </w:r>
      <w:r>
        <w:rPr>
          <w:rFonts w:cs="Calibri" w:ascii="Arial Narrow" w:hAnsi="Arial Narrow" w:cstheme="minorHAnsi"/>
        </w:rPr>
        <w:t>na oprávnenie poskytnúť požadovanú službu</w:t>
      </w:r>
    </w:p>
    <w:p>
      <w:pPr>
        <w:pStyle w:val="BodyText2"/>
        <w:numPr>
          <w:ilvl w:val="0"/>
          <w:numId w:val="4"/>
        </w:numPr>
        <w:ind w:left="567" w:hanging="283"/>
        <w:rPr>
          <w:rFonts w:ascii="Arial Narrow" w:hAnsi="Arial Narrow" w:cs="Calibri" w:cstheme="minorHAnsi"/>
          <w:bCs/>
        </w:rPr>
      </w:pPr>
      <w:r>
        <w:rPr>
          <w:rFonts w:ascii="Arial Narrow" w:hAnsi="Arial Narrow"/>
        </w:rPr>
        <w:t xml:space="preserve">  </w:t>
      </w:r>
      <w:r>
        <w:rPr>
          <w:rFonts w:ascii="Arial Narrow" w:hAnsi="Arial Narrow"/>
        </w:rPr>
        <w:t xml:space="preserve">Záruka: </w:t>
      </w:r>
      <w:r>
        <w:rPr>
          <w:rFonts w:ascii="Arial Narrow" w:hAnsi="Arial Narrow"/>
          <w:b/>
          <w:u w:val="single"/>
        </w:rPr>
        <w:t>je presne špecifikovaná v technických požiadavkách na dodanie áut</w:t>
      </w:r>
      <w:r>
        <w:rPr>
          <w:rFonts w:ascii="Arial Narrow" w:hAnsi="Arial Narrow"/>
        </w:rPr>
        <w:t xml:space="preserve"> </w:t>
      </w:r>
    </w:p>
    <w:p>
      <w:pPr>
        <w:pStyle w:val="BodyText2"/>
        <w:numPr>
          <w:ilvl w:val="0"/>
          <w:numId w:val="4"/>
        </w:numPr>
        <w:ind w:left="709" w:hanging="425"/>
        <w:rPr>
          <w:rFonts w:ascii="Arial Narrow" w:hAnsi="Arial Narrow" w:cs="Calibri" w:cstheme="minorHAnsi"/>
          <w:bCs/>
        </w:rPr>
      </w:pPr>
      <w:r>
        <w:rPr>
          <w:rFonts w:ascii="Arial Narrow" w:hAnsi="Arial Narrow"/>
        </w:rPr>
        <w:t>Cenu za dodanie tovaru  zaplatí verejný obstarávateľ na základe faktúr, ktoré dodávateľ doručí objednávateľovi . Faktúra sa považuje za doručenú, ak bola doručená ako doporučená zásielka alebo bola osobne prevzatá konateľom spoločnosti    a dátum prevzatia bude potvrdený jeho  podpisom. Prílohou faktúr musí byť preberací protokol na dodané autá , spolu s ďaľšími dokumentmi( záruka, servis...)</w:t>
      </w:r>
    </w:p>
    <w:p>
      <w:pPr>
        <w:pStyle w:val="BodyText2"/>
        <w:numPr>
          <w:ilvl w:val="0"/>
          <w:numId w:val="4"/>
        </w:numPr>
        <w:ind w:left="709" w:hanging="425"/>
        <w:rPr>
          <w:rFonts w:ascii="Arial Narrow" w:hAnsi="Arial Narrow" w:cs="Calibri" w:cstheme="minorHAnsi"/>
          <w:bCs/>
        </w:rPr>
      </w:pPr>
      <w:r>
        <w:rPr>
          <w:rFonts w:ascii="Arial Narrow" w:hAnsi="Arial Narrow"/>
        </w:rPr>
        <w:t xml:space="preserve">Preddavok objednávateľ neposkytne a splatnosť faktúr je stanovená do 14 dní. </w:t>
      </w:r>
    </w:p>
    <w:p>
      <w:pPr>
        <w:pStyle w:val="BodyText2"/>
        <w:numPr>
          <w:ilvl w:val="0"/>
          <w:numId w:val="4"/>
        </w:numPr>
        <w:ind w:left="709" w:hanging="425"/>
        <w:rPr>
          <w:rFonts w:ascii="Arial Narrow" w:hAnsi="Arial Narrow" w:cs="Calibri" w:cstheme="minorHAnsi"/>
          <w:bCs/>
        </w:rPr>
      </w:pPr>
      <w:r>
        <w:rPr>
          <w:rFonts w:ascii="Arial Narrow" w:hAnsi="Arial Narrow"/>
        </w:rPr>
        <w:t>Faktúra musí obsahovať náležitosti podľa § 71 Zákona č. 222/2004 Z. z. v znení neskorších predpisov, zisťovací protokol potvrdený konateľom. Verejný obstarávateľ  skontroluje údaje, uvedené vo faktúre do 3 pracovných dní a v prípade zistených rozdielov môže objednávateľ faktúru vrátiť k prepracovaniu.  Ak v uvedenej lehote nezašle objednávateľ faktúru k prepracovaniu považuje sa za schválenú.</w:t>
      </w:r>
    </w:p>
    <w:p>
      <w:pPr>
        <w:pStyle w:val="BodyText2"/>
        <w:numPr>
          <w:ilvl w:val="0"/>
          <w:numId w:val="4"/>
        </w:numPr>
        <w:ind w:left="709" w:hanging="425"/>
        <w:rPr>
          <w:rFonts w:ascii="Arial Narrow" w:hAnsi="Arial Narrow" w:cs="Calibri" w:cstheme="minorHAnsi"/>
          <w:bCs/>
        </w:rPr>
      </w:pPr>
      <w:r>
        <w:rPr>
          <w:rFonts w:ascii="Arial Narrow" w:hAnsi="Arial Narrow"/>
        </w:rPr>
        <w:t>Úhrada faktúr bude zrealizovaná po odovzdaní a prevzatí tovaru a podpísaní preberacieho protokolu.</w:t>
      </w:r>
    </w:p>
    <w:p>
      <w:pPr>
        <w:pStyle w:val="BodyText2"/>
        <w:numPr>
          <w:ilvl w:val="0"/>
          <w:numId w:val="4"/>
        </w:numPr>
        <w:ind w:left="709" w:hanging="425"/>
        <w:rPr>
          <w:rFonts w:ascii="Arial Narrow" w:hAnsi="Arial Narrow" w:cs="Calibri" w:cstheme="minorHAnsi"/>
          <w:bCs/>
        </w:rPr>
      </w:pPr>
      <w:r>
        <w:rPr>
          <w:rFonts w:ascii="Arial Narrow" w:hAnsi="Arial Narrow"/>
        </w:rPr>
        <w:t xml:space="preserve">obstarávateľ bude požadovať v zmluve, aby úspešný uchádzač sa zaviazal strpieť výkon kontroly/auditu/overovania súvisiaceho s dodaním predmetu zákazky, kedykoľvek počas platnosti zmluvy o poskytnutí nenávratného príspevku, a to oprávnenými osobami a taktiež poskytnúť potrebnú súčinnosť. </w:t>
      </w:r>
    </w:p>
    <w:p>
      <w:pPr>
        <w:pStyle w:val="BodyText2"/>
        <w:numPr>
          <w:ilvl w:val="0"/>
          <w:numId w:val="4"/>
        </w:numPr>
        <w:ind w:left="709" w:hanging="425"/>
        <w:rPr>
          <w:rFonts w:ascii="Arial Narrow" w:hAnsi="Arial Narrow" w:cs="Calibri" w:cstheme="minorHAnsi"/>
          <w:bCs/>
        </w:rPr>
      </w:pPr>
      <w:r>
        <w:rPr>
          <w:rFonts w:ascii="Arial Narrow" w:hAnsi="Arial Narrow"/>
        </w:rPr>
        <w:t>Zmluva je platná dňom podpisu, a zmluva bude mať odkladný účinok spočívajúci v podmienke získania finančných zdrojov na základe   rozhodnutia Pôdohospodárskej platobnej agentúry  o ich pridelení.</w:t>
      </w:r>
    </w:p>
    <w:p>
      <w:pPr>
        <w:pStyle w:val="BodyText2"/>
        <w:tabs>
          <w:tab w:val="left" w:pos="360" w:leader="none"/>
        </w:tabs>
        <w:spacing w:lineRule="auto" w:line="276"/>
        <w:rPr>
          <w:rFonts w:ascii="Arial Narrow" w:hAnsi="Arial Narrow" w:cs="Calibri" w:cstheme="minorHAnsi"/>
          <w:u w:val="single"/>
        </w:rPr>
      </w:pPr>
      <w:r>
        <w:rPr>
          <w:rFonts w:cs="Calibri" w:ascii="Arial Narrow" w:hAnsi="Arial Narrow" w:cstheme="minorHAnsi"/>
          <w:b/>
          <w:bCs/>
        </w:rPr>
        <w:t>12.</w:t>
      </w:r>
      <w:r>
        <w:rPr>
          <w:rFonts w:cs="Calibri" w:ascii="Arial Narrow" w:hAnsi="Arial Narrow" w:cstheme="minorHAnsi"/>
          <w:bCs/>
        </w:rPr>
        <w:t xml:space="preserve"> Platnosť ponuky uchádzača je </w:t>
      </w:r>
      <w:r>
        <w:rPr>
          <w:rFonts w:cs="Calibri" w:ascii="Arial Narrow" w:hAnsi="Arial Narrow" w:cstheme="minorHAnsi"/>
          <w:u w:val="single"/>
        </w:rPr>
        <w:t>stanovená do 31.12.2020</w:t>
      </w:r>
    </w:p>
    <w:p>
      <w:pPr>
        <w:pStyle w:val="BodyText2"/>
        <w:spacing w:lineRule="auto" w:line="276"/>
        <w:ind w:left="709" w:hanging="709"/>
        <w:rPr>
          <w:rFonts w:ascii="Arial Narrow" w:hAnsi="Arial Narrow" w:cs="Calibri" w:cstheme="minorHAnsi"/>
        </w:rPr>
      </w:pPr>
      <w:r>
        <w:rPr>
          <w:rFonts w:cs="Calibri" w:cstheme="minorHAnsi" w:ascii="Arial Narrow" w:hAnsi="Arial Narrow"/>
        </w:rPr>
      </w:r>
    </w:p>
    <w:p>
      <w:pPr>
        <w:pStyle w:val="BodyText2"/>
        <w:ind w:left="851" w:hanging="425"/>
        <w:rPr>
          <w:rFonts w:ascii="Arial Narrow" w:hAnsi="Arial Narrow" w:cs="Calibri" w:cstheme="minorHAnsi"/>
        </w:rPr>
      </w:pPr>
      <w:r>
        <w:rPr>
          <w:rFonts w:cs="Calibri" w:ascii="Arial Narrow" w:hAnsi="Arial Narrow" w:cstheme="minorHAnsi"/>
        </w:rPr>
        <w:t xml:space="preserve"> </w:t>
      </w:r>
    </w:p>
    <w:p>
      <w:pPr>
        <w:pStyle w:val="Normal"/>
        <w:rPr>
          <w:rFonts w:ascii="Arial Narrow" w:hAnsi="Arial Narrow"/>
        </w:rPr>
      </w:pPr>
      <w:r>
        <w:rPr>
          <w:rFonts w:ascii="Arial Narrow" w:hAnsi="Arial Narrow"/>
        </w:rPr>
        <w:t xml:space="preserve">Prílohy výzvy : </w:t>
      </w:r>
    </w:p>
    <w:p>
      <w:pPr>
        <w:pStyle w:val="ListParagraph"/>
        <w:numPr>
          <w:ilvl w:val="0"/>
          <w:numId w:val="2"/>
        </w:numPr>
        <w:ind w:left="927" w:hanging="360"/>
        <w:rPr>
          <w:rFonts w:ascii="Arial Narrow" w:hAnsi="Arial Narrow"/>
        </w:rPr>
      </w:pPr>
      <w:r>
        <w:rPr>
          <w:rFonts w:ascii="Arial Narrow" w:hAnsi="Arial Narrow"/>
        </w:rPr>
        <w:t>Príloha č. 1 – Návrh ceny</w:t>
      </w:r>
    </w:p>
    <w:p>
      <w:pPr>
        <w:pStyle w:val="ListParagraph"/>
        <w:numPr>
          <w:ilvl w:val="0"/>
          <w:numId w:val="2"/>
        </w:numPr>
        <w:ind w:left="927" w:hanging="360"/>
        <w:rPr>
          <w:rFonts w:ascii="Arial Narrow" w:hAnsi="Arial Narrow"/>
        </w:rPr>
      </w:pPr>
      <w:r>
        <w:rPr>
          <w:rFonts w:ascii="Arial Narrow" w:hAnsi="Arial Narrow"/>
        </w:rPr>
        <w:t>Príloha č. 2 -  Výkaz výmer</w:t>
      </w:r>
    </w:p>
    <w:p>
      <w:pPr>
        <w:pStyle w:val="ListParagraph"/>
        <w:numPr>
          <w:ilvl w:val="0"/>
          <w:numId w:val="2"/>
        </w:numPr>
        <w:ind w:left="927" w:hanging="360"/>
        <w:rPr>
          <w:rFonts w:ascii="Arial Narrow" w:hAnsi="Arial Narrow"/>
        </w:rPr>
      </w:pPr>
      <w:r>
        <w:rPr>
          <w:rFonts w:ascii="Arial Narrow" w:hAnsi="Arial Narrow"/>
        </w:rPr>
        <w:t xml:space="preserve">Príloha č.3  – zmluva </w:t>
      </w:r>
    </w:p>
    <w:p>
      <w:pPr>
        <w:pStyle w:val="ListParagraph"/>
        <w:numPr>
          <w:ilvl w:val="0"/>
          <w:numId w:val="2"/>
        </w:numPr>
        <w:ind w:left="927" w:hanging="360"/>
        <w:rPr>
          <w:rFonts w:ascii="Arial Narrow" w:hAnsi="Arial Narrow"/>
          <w:u w:val="single"/>
        </w:rPr>
      </w:pPr>
      <w:r>
        <w:rPr>
          <w:rFonts w:ascii="Arial Narrow" w:hAnsi="Arial Narrow"/>
        </w:rPr>
        <w:t>Príloha č. 4 – Projektová dokumentácia v pdf.</w:t>
      </w:r>
    </w:p>
    <w:p>
      <w:pPr>
        <w:pStyle w:val="Normal"/>
        <w:rPr>
          <w:rFonts w:ascii="Arial Narrow" w:hAnsi="Arial Narrow"/>
          <w:b/>
          <w:b/>
          <w:u w:val="single"/>
        </w:rPr>
      </w:pPr>
      <w:r>
        <w:rPr>
          <w:rFonts w:ascii="Arial Narrow" w:hAnsi="Arial Narrow"/>
          <w:b/>
          <w:u w:val="single"/>
        </w:rPr>
      </w:r>
    </w:p>
    <w:p>
      <w:pPr>
        <w:pStyle w:val="Normal"/>
        <w:ind w:left="426" w:hanging="426"/>
        <w:jc w:val="both"/>
        <w:rPr>
          <w:rFonts w:ascii="Arial Narrow" w:hAnsi="Arial Narrow"/>
        </w:rPr>
      </w:pPr>
      <w:r>
        <w:rPr>
          <w:rFonts w:ascii="Arial Narrow" w:hAnsi="Arial Narrow"/>
        </w:rPr>
        <w:t>Schválil: František Čenka,  konateľ                           .....................................................</w:t>
      </w:r>
    </w:p>
    <w:p>
      <w:pPr>
        <w:pStyle w:val="Normal"/>
        <w:ind w:left="426" w:hanging="426"/>
        <w:jc w:val="both"/>
        <w:rPr>
          <w:rFonts w:ascii="Arial Narrow" w:hAnsi="Arial Narrow"/>
        </w:rPr>
      </w:pPr>
      <w:r>
        <w:rPr>
          <w:rFonts w:ascii="Arial Narrow" w:hAnsi="Arial Narrow"/>
        </w:rPr>
      </w:r>
    </w:p>
    <w:p>
      <w:pPr>
        <w:pStyle w:val="Normal"/>
        <w:rPr>
          <w:rFonts w:ascii="Arial Narrow" w:hAnsi="Arial Narrow"/>
        </w:rPr>
      </w:pPr>
      <w:r>
        <w:rPr>
          <w:rFonts w:ascii="Arial Narrow" w:hAnsi="Arial Narrow"/>
        </w:rPr>
      </w:r>
    </w:p>
    <w:p>
      <w:pPr>
        <w:pStyle w:val="Normal"/>
        <w:rPr>
          <w:rFonts w:ascii="Arial Narrow" w:hAnsi="Arial Narrow"/>
        </w:rPr>
      </w:pPr>
      <w:r>
        <w:rPr>
          <w:rFonts w:ascii="Arial Narrow" w:hAnsi="Arial Narrow"/>
        </w:rPr>
        <w:t>V Liptovskom Mikuláši   06.04.2020</w:t>
      </w:r>
    </w:p>
    <w:p>
      <w:pPr>
        <w:pStyle w:val="Normal"/>
        <w:rPr>
          <w:rFonts w:ascii="Arial Narrow" w:hAnsi="Arial Narrow"/>
        </w:rPr>
      </w:pPr>
      <w:r>
        <w:rPr>
          <w:rFonts w:ascii="Arial Narrow" w:hAnsi="Arial Narrow"/>
        </w:rPr>
      </w:r>
    </w:p>
    <w:p>
      <w:pPr>
        <w:pStyle w:val="Normal"/>
        <w:rPr/>
      </w:pPr>
      <w:r>
        <w:rPr/>
      </w:r>
    </w:p>
    <w:sectPr>
      <w:headerReference w:type="default" r:id="rId3"/>
      <w:footerReference w:type="default" r:id="rId4"/>
      <w:type w:val="nextPage"/>
      <w:pgSz w:w="11906" w:h="16838"/>
      <w:pgMar w:left="1417" w:right="1417" w:header="708"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Arial">
    <w:charset w:val="ee"/>
    <w:family w:val="roman"/>
    <w:pitch w:val="variable"/>
  </w:font>
  <w:font w:name="Cambria">
    <w:charset w:val="ee"/>
    <w:family w:val="roman"/>
    <w:pitch w:val="variable"/>
  </w:font>
  <w:font w:name="Tahoma">
    <w:charset w:val="ee"/>
    <w:family w:val="roman"/>
    <w:pitch w:val="variable"/>
  </w:font>
  <w:font w:name="Arial Narrow">
    <w:charset w:val="ee"/>
    <w:family w:val="roman"/>
    <w:pitch w:val="variable"/>
  </w:font>
  <w:font w:name="Liberation Sans">
    <w:altName w:val="Arial"/>
    <w:charset w:val="ee"/>
    <w:family w:val="swiss"/>
    <w:pitch w:val="variable"/>
  </w:font>
  <w:font w:name="Tms Rmn">
    <w:altName w:val="Times New Roman"/>
    <w:charset w:val="ee"/>
    <w:family w:val="roman"/>
    <w:pitch w:val="variable"/>
  </w:font>
  <w:font w:name="Segoe UI Symbol">
    <w:charset w:val="ee"/>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right"/>
      <w:rPr/>
    </w:pPr>
    <w:r>
      <w:rPr/>
      <w:fldChar w:fldCharType="begin"/>
    </w:r>
    <w:r>
      <w:rPr/>
      <w:instrText> PAGE </w:instrText>
    </w:r>
    <w:r>
      <w:rPr/>
      <w:fldChar w:fldCharType="separate"/>
    </w:r>
    <w:r>
      <w:rPr/>
      <w:t>6</w:t>
    </w:r>
    <w:r>
      <w:rPr/>
      <w:fldChar w:fldCharType="end"/>
    </w:r>
  </w:p>
  <w:p>
    <w:pPr>
      <w:pStyle w:val="Footer"/>
      <w:pBdr>
        <w:top w:val="single" w:sz="4" w:space="1" w:color="00000A"/>
      </w:pBdr>
      <w:tabs>
        <w:tab w:val="center" w:pos="4536" w:leader="none"/>
        <w:tab w:val="left" w:pos="8280" w:leader="none"/>
      </w:tabs>
      <w:rPr>
        <w:b/>
        <w:b/>
        <w:sz w:val="18"/>
        <w:szCs w:val="18"/>
      </w:rPr>
    </w:pPr>
    <w:r>
      <w:rPr>
        <w:b/>
        <w:sz w:val="18"/>
        <w:szCs w:val="18"/>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TextBody"/>
      <w:spacing w:lineRule="auto" w:line="12" w:before="0" w:after="120"/>
      <w:rPr>
        <w:sz w:val="20"/>
      </w:rPr>
    </w:pPr>
    <w:r>
      <w:rPr>
        <w:sz w:val="20"/>
      </w:rPr>
      <mc:AlternateContent>
        <mc:Choice Requires="wps">
          <w:drawing>
            <wp:anchor behindDoc="1" distT="0" distB="0" distL="114300" distR="114300" simplePos="0" locked="0" layoutInCell="1" allowOverlap="1" relativeHeight="3" wp14:anchorId="55D1CDF3">
              <wp:simplePos x="0" y="0"/>
              <wp:positionH relativeFrom="page">
                <wp:posOffset>1090930</wp:posOffset>
              </wp:positionH>
              <wp:positionV relativeFrom="page">
                <wp:posOffset>445135</wp:posOffset>
              </wp:positionV>
              <wp:extent cx="5376545" cy="250825"/>
              <wp:effectExtent l="0" t="0" r="635" b="0"/>
              <wp:wrapNone/>
              <wp:docPr id="1" name="Text Box 4"/>
              <a:graphic xmlns:a="http://schemas.openxmlformats.org/drawingml/2006/main">
                <a:graphicData uri="http://schemas.microsoft.com/office/word/2010/wordprocessingShape">
                  <wps:wsp>
                    <wps:cNvSpPr/>
                    <wps:spPr>
                      <a:xfrm>
                        <a:off x="0" y="0"/>
                        <a:ext cx="5375880" cy="250200"/>
                      </a:xfrm>
                      <a:prstGeom prst="rect">
                        <a:avLst/>
                      </a:prstGeom>
                      <a:noFill/>
                      <a:ln>
                        <a:noFill/>
                      </a:ln>
                    </wps:spPr>
                    <wps:style>
                      <a:lnRef idx="0"/>
                      <a:fillRef idx="0"/>
                      <a:effectRef idx="0"/>
                      <a:fontRef idx="minor"/>
                    </wps:style>
                    <wps:txbx>
                      <w:txbxContent>
                        <w:p>
                          <w:pPr>
                            <w:pStyle w:val="FrameContents"/>
                            <w:spacing w:before="5" w:after="0"/>
                            <w:ind w:left="20" w:hanging="0"/>
                            <w:rPr>
                              <w:b/>
                              <w:b/>
                              <w:color w:val="1F1F1F"/>
                              <w:sz w:val="28"/>
                              <w:szCs w:val="28"/>
                            </w:rPr>
                          </w:pPr>
                          <w:r>
                            <w:rPr>
                              <w:b/>
                              <w:color w:val="1F1F1F"/>
                              <w:sz w:val="28"/>
                              <w:szCs w:val="28"/>
                            </w:rPr>
                            <w:t>AGRO-SILVA,s.r.o. Okoličianska 741/65 ,031 04 Liptovský</w:t>
                          </w:r>
                          <w:r>
                            <w:rPr>
                              <w:b/>
                              <w:color w:val="1F1F1F"/>
                              <w:sz w:val="32"/>
                            </w:rPr>
                            <w:t xml:space="preserve"> </w:t>
                          </w:r>
                          <w:r>
                            <w:rPr>
                              <w:b/>
                              <w:color w:val="1F1F1F"/>
                              <w:sz w:val="28"/>
                              <w:szCs w:val="28"/>
                            </w:rPr>
                            <w:t>Mikuláš</w:t>
                          </w:r>
                        </w:p>
                      </w:txbxContent>
                    </wps:txbx>
                    <wps:bodyPr lIns="0" rIns="0" tIns="0" bIns="0">
                      <a:noAutofit/>
                    </wps:bodyPr>
                  </wps:wsp>
                </a:graphicData>
              </a:graphic>
            </wp:anchor>
          </w:drawing>
        </mc:Choice>
        <mc:Fallback>
          <w:pict>
            <v:rect id="shape_0" ID="Text Box 4" stroked="f" style="position:absolute;margin-left:85.9pt;margin-top:35.05pt;width:423.25pt;height:19.65pt;mso-position-horizontal-relative:page;mso-position-vertical-relative:page" wp14:anchorId="55D1CDF3">
              <w10:wrap type="square"/>
              <v:fill o:detectmouseclick="t" on="false"/>
              <v:stroke color="#3465a4" joinstyle="round" endcap="flat"/>
              <v:textbox>
                <w:txbxContent>
                  <w:p>
                    <w:pPr>
                      <w:pStyle w:val="FrameContents"/>
                      <w:spacing w:before="5" w:after="0"/>
                      <w:ind w:left="20" w:hanging="0"/>
                      <w:rPr>
                        <w:b/>
                        <w:b/>
                        <w:color w:val="1F1F1F"/>
                        <w:sz w:val="28"/>
                        <w:szCs w:val="28"/>
                      </w:rPr>
                    </w:pPr>
                    <w:r>
                      <w:rPr>
                        <w:b/>
                        <w:color w:val="1F1F1F"/>
                        <w:sz w:val="28"/>
                        <w:szCs w:val="28"/>
                      </w:rPr>
                      <w:t>AGRO-SILVA,s.r.o. Okoličianska 741/65 ,031 04 Liptovský</w:t>
                    </w:r>
                    <w:r>
                      <w:rPr>
                        <w:b/>
                        <w:color w:val="1F1F1F"/>
                        <w:sz w:val="32"/>
                      </w:rPr>
                      <w:t xml:space="preserve"> </w:t>
                    </w:r>
                    <w:r>
                      <w:rPr>
                        <w:b/>
                        <w:color w:val="1F1F1F"/>
                        <w:sz w:val="28"/>
                        <w:szCs w:val="28"/>
                      </w:rPr>
                      <w:t>Mikuláš</w:t>
                    </w:r>
                  </w:p>
                </w:txbxContent>
              </v:textbox>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5" w:after="0"/>
      <w:ind w:left="20" w:hanging="0"/>
      <w:rPr>
        <w:b/>
        <w:b/>
        <w:color w:val="1F1F1F"/>
        <w:sz w:val="28"/>
        <w:szCs w:val="28"/>
      </w:rPr>
    </w:pPr>
    <w:r>
      <w:rPr>
        <w:b/>
        <w:color w:val="1F1F1F"/>
        <w:sz w:val="28"/>
        <w:szCs w:val="28"/>
      </w:rPr>
      <w:t>AGRO-SILVA,s.r.o. Okoličianska 741/65 ,031 04 Liptovský</w:t>
    </w:r>
    <w:r>
      <w:rPr>
        <w:b/>
        <w:color w:val="1F1F1F"/>
        <w:sz w:val="32"/>
      </w:rPr>
      <w:t xml:space="preserve"> </w:t>
    </w:r>
    <w:r>
      <w:rPr>
        <w:b/>
        <w:color w:val="1F1F1F"/>
        <w:sz w:val="28"/>
        <w:szCs w:val="28"/>
      </w:rPr>
      <w:t>Mikuláš</w:t>
    </w:r>
  </w:p>
  <w:p>
    <w:pPr>
      <w:pStyle w:val="BodyText2"/>
      <w:spacing w:lineRule="auto" w:line="27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2"/>
      <w:pStyle w:val="Heading1"/>
      <w:numFmt w:val="decimal"/>
      <w:lvlText w:val="%1."/>
      <w:lvlJc w:val="left"/>
      <w:pPr>
        <w:tabs>
          <w:tab w:val="num" w:pos="720"/>
        </w:tabs>
        <w:ind w:left="720" w:hanging="360"/>
      </w:pPr>
      <w:rPr>
        <w:b/>
        <w:rFonts w:cs="Times New Roman"/>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9"/>
      <w:numFmt w:val="bullet"/>
      <w:lvlText w:val="-"/>
      <w:lvlJc w:val="left"/>
      <w:pPr>
        <w:ind w:left="720" w:hanging="360"/>
      </w:pPr>
      <w:rPr>
        <w:rFonts w:ascii="Times New Roman" w:hAnsi="Times New Roman" w:cs="Times New Roman" w:hint="default"/>
        <w:b/>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6">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sk-SK"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Cs w:val="22"/>
        <w:lang w:val="sk-SK" w:eastAsia="sk-SK" w:bidi="ar-SA"/>
      </w:rPr>
    </w:rPrDefault>
    <w:pPrDefault>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08d1"/>
    <w:pPr>
      <w:widowControl/>
      <w:bidi w:val="0"/>
      <w:jc w:val="left"/>
    </w:pPr>
    <w:rPr>
      <w:rFonts w:ascii="Times New Roman" w:hAnsi="Times New Roman" w:eastAsia="Times New Roman" w:cs="Times New Roman"/>
      <w:color w:val="auto"/>
      <w:kern w:val="0"/>
      <w:sz w:val="24"/>
      <w:szCs w:val="24"/>
      <w:lang w:eastAsia="cs-CZ" w:val="sk-SK" w:bidi="ar-SA"/>
    </w:rPr>
  </w:style>
  <w:style w:type="paragraph" w:styleId="Heading1">
    <w:name w:val="Heading 1"/>
    <w:basedOn w:val="Normal"/>
    <w:link w:val="Nadpis1Char"/>
    <w:uiPriority w:val="99"/>
    <w:qFormat/>
    <w:rsid w:val="00a45fdc"/>
    <w:pPr>
      <w:keepNext w:val="true"/>
      <w:numPr>
        <w:ilvl w:val="0"/>
        <w:numId w:val="1"/>
      </w:numPr>
      <w:shd w:val="clear" w:color="auto" w:fill="E5E5E5"/>
      <w:suppressAutoHyphens w:val="true"/>
      <w:spacing w:before="240" w:after="60"/>
      <w:outlineLvl w:val="0"/>
    </w:pPr>
    <w:rPr>
      <w:rFonts w:ascii="Arial" w:hAnsi="Arial"/>
      <w:b/>
      <w:caps/>
      <w:kern w:val="2"/>
      <w:sz w:val="40"/>
      <w:szCs w:val="20"/>
      <w:lang w:eastAsia="ar-SA"/>
    </w:rPr>
  </w:style>
  <w:style w:type="paragraph" w:styleId="Heading2">
    <w:name w:val="Heading 2"/>
    <w:basedOn w:val="Normal"/>
    <w:link w:val="Nadpis2Char"/>
    <w:semiHidden/>
    <w:unhideWhenUsed/>
    <w:qFormat/>
    <w:locked/>
    <w:rsid w:val="00ed0179"/>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Heading3">
    <w:name w:val="Heading 3"/>
    <w:basedOn w:val="Normal"/>
    <w:link w:val="Nadpis3Char"/>
    <w:unhideWhenUsed/>
    <w:qFormat/>
    <w:locked/>
    <w:rsid w:val="00ed0179"/>
    <w:pPr>
      <w:keepNext w:val="true"/>
      <w:keepLines/>
      <w:spacing w:before="200" w:after="0"/>
      <w:outlineLvl w:val="2"/>
    </w:pPr>
    <w:rPr>
      <w:rFonts w:ascii="Cambria" w:hAnsi="Cambria" w:eastAsia="" w:cs="" w:asciiTheme="majorHAnsi" w:cstheme="majorBidi" w:eastAsiaTheme="majorEastAsia" w:hAnsiTheme="majorHAnsi"/>
      <w:b/>
      <w:bCs/>
      <w:color w:val="4F81BD" w:themeColor="accent1"/>
    </w:rPr>
  </w:style>
  <w:style w:type="character" w:styleId="DefaultParagraphFont" w:default="1">
    <w:name w:val="Default Paragraph Font"/>
    <w:uiPriority w:val="1"/>
    <w:semiHidden/>
    <w:unhideWhenUsed/>
    <w:qFormat/>
    <w:rPr/>
  </w:style>
  <w:style w:type="character" w:styleId="Nadpis1Char" w:customStyle="1">
    <w:name w:val="Nadpis 1 Char"/>
    <w:basedOn w:val="DefaultParagraphFont"/>
    <w:link w:val="Nadpis1"/>
    <w:uiPriority w:val="99"/>
    <w:qFormat/>
    <w:locked/>
    <w:rsid w:val="00a45fdc"/>
    <w:rPr>
      <w:rFonts w:ascii="Arial" w:hAnsi="Arial" w:cs="Times New Roman"/>
      <w:caps/>
      <w:kern w:val="2"/>
      <w:sz w:val="20"/>
      <w:szCs w:val="20"/>
      <w:shd w:fill="E5E5E5" w:val="clear"/>
      <w:lang w:eastAsia="ar-SA" w:bidi="ar-SA"/>
    </w:rPr>
  </w:style>
  <w:style w:type="character" w:styleId="ZkladntextChar" w:customStyle="1">
    <w:name w:val="Základný text Char"/>
    <w:basedOn w:val="DefaultParagraphFont"/>
    <w:link w:val="Zkladntext"/>
    <w:uiPriority w:val="99"/>
    <w:qFormat/>
    <w:locked/>
    <w:rsid w:val="00cd08d1"/>
    <w:rPr>
      <w:rFonts w:ascii="Times New Roman" w:hAnsi="Times New Roman" w:cs="Times New Roman"/>
      <w:sz w:val="24"/>
      <w:szCs w:val="24"/>
      <w:lang w:eastAsia="cs-CZ"/>
    </w:rPr>
  </w:style>
  <w:style w:type="character" w:styleId="Zkladntext2Char" w:customStyle="1">
    <w:name w:val="Základný text 2 Char"/>
    <w:basedOn w:val="DefaultParagraphFont"/>
    <w:link w:val="Zkladntext2"/>
    <w:uiPriority w:val="99"/>
    <w:qFormat/>
    <w:locked/>
    <w:rsid w:val="00cd08d1"/>
    <w:rPr>
      <w:rFonts w:ascii="Times New Roman" w:hAnsi="Times New Roman" w:cs="Times New Roman"/>
      <w:sz w:val="24"/>
      <w:szCs w:val="24"/>
      <w:lang w:eastAsia="cs-CZ"/>
    </w:rPr>
  </w:style>
  <w:style w:type="character" w:styleId="Zkladntext3Char" w:customStyle="1">
    <w:name w:val="Základný text 3 Char"/>
    <w:basedOn w:val="DefaultParagraphFont"/>
    <w:link w:val="Zkladntext3"/>
    <w:uiPriority w:val="99"/>
    <w:qFormat/>
    <w:locked/>
    <w:rsid w:val="00cd08d1"/>
    <w:rPr>
      <w:rFonts w:ascii="Times New Roman" w:hAnsi="Times New Roman" w:cs="Times New Roman"/>
      <w:sz w:val="16"/>
      <w:szCs w:val="16"/>
      <w:lang w:eastAsia="cs-CZ"/>
    </w:rPr>
  </w:style>
  <w:style w:type="character" w:styleId="InternetLink">
    <w:name w:val="Internet Link"/>
    <w:basedOn w:val="DefaultParagraphFont"/>
    <w:uiPriority w:val="99"/>
    <w:rsid w:val="00cd08d1"/>
    <w:rPr>
      <w:rFonts w:cs="Times New Roman"/>
      <w:color w:val="0000FF"/>
      <w:u w:val="single"/>
    </w:rPr>
  </w:style>
  <w:style w:type="character" w:styleId="HlavikaChar" w:customStyle="1">
    <w:name w:val="Hlavička Char"/>
    <w:basedOn w:val="DefaultParagraphFont"/>
    <w:link w:val="Hlavika"/>
    <w:uiPriority w:val="99"/>
    <w:qFormat/>
    <w:locked/>
    <w:rsid w:val="0020057e"/>
    <w:rPr>
      <w:rFonts w:ascii="Times New Roman" w:hAnsi="Times New Roman" w:cs="Times New Roman"/>
      <w:sz w:val="24"/>
      <w:szCs w:val="24"/>
      <w:lang w:eastAsia="cs-CZ"/>
    </w:rPr>
  </w:style>
  <w:style w:type="character" w:styleId="PtaChar" w:customStyle="1">
    <w:name w:val="Päta Char"/>
    <w:basedOn w:val="DefaultParagraphFont"/>
    <w:link w:val="Pta"/>
    <w:qFormat/>
    <w:locked/>
    <w:rsid w:val="0020057e"/>
    <w:rPr>
      <w:rFonts w:ascii="Times New Roman" w:hAnsi="Times New Roman" w:cs="Times New Roman"/>
      <w:sz w:val="24"/>
      <w:szCs w:val="24"/>
      <w:lang w:eastAsia="cs-CZ"/>
    </w:rPr>
  </w:style>
  <w:style w:type="character" w:styleId="TextbublinyChar" w:customStyle="1">
    <w:name w:val="Text bubliny Char"/>
    <w:basedOn w:val="DefaultParagraphFont"/>
    <w:link w:val="Textbubliny"/>
    <w:uiPriority w:val="99"/>
    <w:semiHidden/>
    <w:qFormat/>
    <w:locked/>
    <w:rsid w:val="0020057e"/>
    <w:rPr>
      <w:rFonts w:ascii="Tahoma" w:hAnsi="Tahoma" w:cs="Tahoma"/>
      <w:sz w:val="16"/>
      <w:szCs w:val="16"/>
      <w:lang w:eastAsia="cs-CZ"/>
    </w:rPr>
  </w:style>
  <w:style w:type="character" w:styleId="ZarkazkladnhotextuChar" w:customStyle="1">
    <w:name w:val="Zarážka základného textu Char"/>
    <w:basedOn w:val="DefaultParagraphFont"/>
    <w:link w:val="Zarkazkladnhotextu"/>
    <w:uiPriority w:val="99"/>
    <w:qFormat/>
    <w:locked/>
    <w:rsid w:val="008d46d7"/>
    <w:rPr>
      <w:rFonts w:ascii="Times New Roman" w:hAnsi="Times New Roman" w:cs="Times New Roman"/>
      <w:sz w:val="24"/>
      <w:szCs w:val="24"/>
      <w:lang w:eastAsia="cs-CZ"/>
    </w:rPr>
  </w:style>
  <w:style w:type="character" w:styleId="Appleconvertedspace" w:customStyle="1">
    <w:name w:val="apple-converted-space"/>
    <w:basedOn w:val="DefaultParagraphFont"/>
    <w:qFormat/>
    <w:rsid w:val="009478ff"/>
    <w:rPr/>
  </w:style>
  <w:style w:type="character" w:styleId="NzovChar" w:customStyle="1">
    <w:name w:val="Názov Char"/>
    <w:basedOn w:val="DefaultParagraphFont"/>
    <w:link w:val="Nzov"/>
    <w:qFormat/>
    <w:rsid w:val="00250ca3"/>
    <w:rPr>
      <w:rFonts w:ascii="Cambria" w:hAnsi="Cambria" w:eastAsia="" w:cs="" w:asciiTheme="majorHAnsi" w:cstheme="majorBidi" w:eastAsiaTheme="majorEastAsia" w:hAnsiTheme="majorHAnsi"/>
      <w:color w:val="17365D" w:themeColor="text2" w:themeShade="bf"/>
      <w:spacing w:val="5"/>
      <w:kern w:val="2"/>
      <w:sz w:val="52"/>
      <w:szCs w:val="52"/>
      <w:lang w:eastAsia="cs-CZ"/>
    </w:rPr>
  </w:style>
  <w:style w:type="character" w:styleId="Nadpis2Char" w:customStyle="1">
    <w:name w:val="Nadpis 2 Char"/>
    <w:basedOn w:val="DefaultParagraphFont"/>
    <w:link w:val="Nadpis2"/>
    <w:semiHidden/>
    <w:qFormat/>
    <w:rsid w:val="00ed0179"/>
    <w:rPr>
      <w:rFonts w:ascii="Cambria" w:hAnsi="Cambria" w:eastAsia="" w:cs="" w:asciiTheme="majorHAnsi" w:cstheme="majorBidi" w:eastAsiaTheme="majorEastAsia" w:hAnsiTheme="majorHAnsi"/>
      <w:b/>
      <w:bCs/>
      <w:color w:val="4F81BD" w:themeColor="accent1"/>
      <w:sz w:val="26"/>
      <w:szCs w:val="26"/>
      <w:lang w:eastAsia="cs-CZ"/>
    </w:rPr>
  </w:style>
  <w:style w:type="character" w:styleId="Nadpis3Char" w:customStyle="1">
    <w:name w:val="Nadpis 3 Char"/>
    <w:basedOn w:val="DefaultParagraphFont"/>
    <w:link w:val="Nadpis3"/>
    <w:qFormat/>
    <w:rsid w:val="00ed0179"/>
    <w:rPr>
      <w:rFonts w:ascii="Cambria" w:hAnsi="Cambria" w:eastAsia="" w:cs="" w:asciiTheme="majorHAnsi" w:cstheme="majorBidi" w:eastAsiaTheme="majorEastAsia" w:hAnsiTheme="majorHAnsi"/>
      <w:b/>
      <w:bCs/>
      <w:color w:val="4F81BD" w:themeColor="accent1"/>
      <w:sz w:val="24"/>
      <w:szCs w:val="24"/>
      <w:lang w:eastAsia="cs-CZ"/>
    </w:rPr>
  </w:style>
  <w:style w:type="character" w:styleId="OdsekzoznamuChar" w:customStyle="1">
    <w:name w:val="Odsek zoznamu Char"/>
    <w:basedOn w:val="DefaultParagraphFont"/>
    <w:link w:val="Odsekzoznamu"/>
    <w:uiPriority w:val="34"/>
    <w:qFormat/>
    <w:locked/>
    <w:rsid w:val="003e5ad4"/>
    <w:rPr>
      <w:rFonts w:ascii="Times New Roman" w:hAnsi="Times New Roman" w:eastAsia="Times New Roman"/>
      <w:sz w:val="24"/>
      <w:szCs w:val="24"/>
      <w:lang w:eastAsia="cs-CZ"/>
    </w:rPr>
  </w:style>
  <w:style w:type="character" w:styleId="ListLabel1">
    <w:name w:val="ListLabel 1"/>
    <w:qFormat/>
    <w:rPr>
      <w:rFonts w:cs="Times New Roman"/>
      <w:b/>
    </w:rPr>
  </w:style>
  <w:style w:type="character" w:styleId="ListLabel2">
    <w:name w:val="ListLabel 2"/>
    <w:qFormat/>
    <w:rPr>
      <w:rFonts w:cs="Times New Roman"/>
    </w:rPr>
  </w:style>
  <w:style w:type="character" w:styleId="ListLabel3">
    <w:name w:val="ListLabel 3"/>
    <w:qFormat/>
    <w:rPr>
      <w:rFonts w:cs="Times New Roman"/>
    </w:rPr>
  </w:style>
  <w:style w:type="character" w:styleId="ListLabel4">
    <w:name w:val="ListLabel 4"/>
    <w:qFormat/>
    <w:rPr>
      <w:rFonts w:cs="Times New Roman"/>
    </w:rPr>
  </w:style>
  <w:style w:type="character" w:styleId="ListLabel5">
    <w:name w:val="ListLabel 5"/>
    <w:qFormat/>
    <w:rPr>
      <w:rFonts w:cs="Times New Roman"/>
    </w:rPr>
  </w:style>
  <w:style w:type="character" w:styleId="ListLabel6">
    <w:name w:val="ListLabel 6"/>
    <w:qFormat/>
    <w:rPr>
      <w:rFonts w:cs="Times New Roman"/>
    </w:rPr>
  </w:style>
  <w:style w:type="character" w:styleId="ListLabel7">
    <w:name w:val="ListLabel 7"/>
    <w:qFormat/>
    <w:rPr>
      <w:rFonts w:cs="Times New Roman"/>
    </w:rPr>
  </w:style>
  <w:style w:type="character" w:styleId="ListLabel8">
    <w:name w:val="ListLabel 8"/>
    <w:qFormat/>
    <w:rPr>
      <w:rFonts w:cs="Times New Roman"/>
    </w:rPr>
  </w:style>
  <w:style w:type="character" w:styleId="ListLabel9">
    <w:name w:val="ListLabel 9"/>
    <w:qFormat/>
    <w:rPr>
      <w:rFonts w:cs="Times New Roman"/>
    </w:rPr>
  </w:style>
  <w:style w:type="character" w:styleId="ListLabel10">
    <w:name w:val="ListLabel 10"/>
    <w:qFormat/>
    <w:rPr>
      <w:rFonts w:cs="Times New Roman"/>
      <w:b/>
    </w:rPr>
  </w:style>
  <w:style w:type="character" w:styleId="ListLabel11">
    <w:name w:val="ListLabel 11"/>
    <w:qFormat/>
    <w:rPr>
      <w:rFonts w:cs="Times New Roman"/>
    </w:rPr>
  </w:style>
  <w:style w:type="character" w:styleId="ListLabel12">
    <w:name w:val="ListLabel 12"/>
    <w:qFormat/>
    <w:rPr>
      <w:rFonts w:cs="Times New Roman"/>
    </w:rPr>
  </w:style>
  <w:style w:type="character" w:styleId="ListLabel13">
    <w:name w:val="ListLabel 13"/>
    <w:qFormat/>
    <w:rPr>
      <w:rFonts w:cs="Times New Roman"/>
    </w:rPr>
  </w:style>
  <w:style w:type="character" w:styleId="ListLabel14">
    <w:name w:val="ListLabel 14"/>
    <w:qFormat/>
    <w:rPr>
      <w:rFonts w:cs="Times New Roman"/>
    </w:rPr>
  </w:style>
  <w:style w:type="character" w:styleId="ListLabel15">
    <w:name w:val="ListLabel 15"/>
    <w:qFormat/>
    <w:rPr>
      <w:rFonts w:cs="Times New Roman"/>
    </w:rPr>
  </w:style>
  <w:style w:type="character" w:styleId="ListLabel16">
    <w:name w:val="ListLabel 16"/>
    <w:qFormat/>
    <w:rPr>
      <w:rFonts w:cs="Times New Roman"/>
    </w:rPr>
  </w:style>
  <w:style w:type="character" w:styleId="ListLabel17">
    <w:name w:val="ListLabel 17"/>
    <w:qFormat/>
    <w:rPr>
      <w:rFonts w:cs="Times New Roman"/>
    </w:rPr>
  </w:style>
  <w:style w:type="character" w:styleId="ListLabel18">
    <w:name w:val="ListLabel 18"/>
    <w:qFormat/>
    <w:rPr>
      <w:rFonts w:cs="Times New Roman"/>
    </w:rPr>
  </w:style>
  <w:style w:type="character" w:styleId="ListLabel19">
    <w:name w:val="ListLabel 19"/>
    <w:qFormat/>
    <w:rPr>
      <w:rFonts w:cs="Times New Roman"/>
    </w:rPr>
  </w:style>
  <w:style w:type="character" w:styleId="ListLabel20">
    <w:name w:val="ListLabel 20"/>
    <w:qFormat/>
    <w:rPr>
      <w:rFonts w:cs="Times New Roman"/>
    </w:rPr>
  </w:style>
  <w:style w:type="character" w:styleId="ListLabel21">
    <w:name w:val="ListLabel 21"/>
    <w:qFormat/>
    <w:rPr>
      <w:rFonts w:cs="Times New Roman"/>
    </w:rPr>
  </w:style>
  <w:style w:type="character" w:styleId="ListLabel22">
    <w:name w:val="ListLabel 22"/>
    <w:qFormat/>
    <w:rPr>
      <w:rFonts w:cs="Times New Roman"/>
    </w:rPr>
  </w:style>
  <w:style w:type="character" w:styleId="ListLabel23">
    <w:name w:val="ListLabel 23"/>
    <w:qFormat/>
    <w:rPr>
      <w:rFonts w:cs="Times New Roman"/>
    </w:rPr>
  </w:style>
  <w:style w:type="character" w:styleId="ListLabel24">
    <w:name w:val="ListLabel 24"/>
    <w:qFormat/>
    <w:rPr>
      <w:rFonts w:cs="Times New Roman"/>
    </w:rPr>
  </w:style>
  <w:style w:type="character" w:styleId="ListLabel25">
    <w:name w:val="ListLabel 25"/>
    <w:qFormat/>
    <w:rPr>
      <w:rFonts w:cs="Times New Roman"/>
    </w:rPr>
  </w:style>
  <w:style w:type="character" w:styleId="ListLabel26">
    <w:name w:val="ListLabel 26"/>
    <w:qFormat/>
    <w:rPr>
      <w:rFonts w:cs="Times New Roman"/>
    </w:rPr>
  </w:style>
  <w:style w:type="character" w:styleId="ListLabel27">
    <w:name w:val="ListLabel 27"/>
    <w:qFormat/>
    <w:rPr>
      <w:rFonts w:cs="Times New Roman"/>
    </w:rPr>
  </w:style>
  <w:style w:type="character" w:styleId="ListLabel28">
    <w:name w:val="ListLabel 28"/>
    <w:qFormat/>
    <w:rPr>
      <w:rFonts w:cs="Times New Roman"/>
    </w:rPr>
  </w:style>
  <w:style w:type="character" w:styleId="ListLabel29">
    <w:name w:val="ListLabel 29"/>
    <w:qFormat/>
    <w:rPr>
      <w:rFonts w:cs="Times New Roman"/>
    </w:rPr>
  </w:style>
  <w:style w:type="character" w:styleId="ListLabel30">
    <w:name w:val="ListLabel 30"/>
    <w:qFormat/>
    <w:rPr>
      <w:rFonts w:cs="Times New Roman"/>
    </w:rPr>
  </w:style>
  <w:style w:type="character" w:styleId="ListLabel31">
    <w:name w:val="ListLabel 31"/>
    <w:qFormat/>
    <w:rPr>
      <w:rFonts w:cs="Times New Roman"/>
    </w:rPr>
  </w:style>
  <w:style w:type="character" w:styleId="ListLabel32">
    <w:name w:val="ListLabel 32"/>
    <w:qFormat/>
    <w:rPr>
      <w:rFonts w:cs="Times New Roman"/>
    </w:rPr>
  </w:style>
  <w:style w:type="character" w:styleId="ListLabel33">
    <w:name w:val="ListLabel 33"/>
    <w:qFormat/>
    <w:rPr>
      <w:rFonts w:cs="Times New Roman"/>
    </w:rPr>
  </w:style>
  <w:style w:type="character" w:styleId="ListLabel34">
    <w:name w:val="ListLabel 34"/>
    <w:qFormat/>
    <w:rPr>
      <w:rFonts w:cs="Times New Roman"/>
    </w:rPr>
  </w:style>
  <w:style w:type="character" w:styleId="ListLabel35">
    <w:name w:val="ListLabel 35"/>
    <w:qFormat/>
    <w:rPr>
      <w:rFonts w:cs="Times New Roman"/>
    </w:rPr>
  </w:style>
  <w:style w:type="character" w:styleId="ListLabel36">
    <w:name w:val="ListLabel 36"/>
    <w:qFormat/>
    <w:rPr>
      <w:rFonts w:cs="Times New Roman"/>
    </w:rPr>
  </w:style>
  <w:style w:type="character" w:styleId="ListLabel37">
    <w:name w:val="ListLabel 37"/>
    <w:qFormat/>
    <w:rPr>
      <w:rFonts w:cs="Times New Roman"/>
    </w:rPr>
  </w:style>
  <w:style w:type="character" w:styleId="ListLabel38">
    <w:name w:val="ListLabel 38"/>
    <w:qFormat/>
    <w:rPr>
      <w:rFonts w:cs="Times New Roman"/>
    </w:rPr>
  </w:style>
  <w:style w:type="character" w:styleId="ListLabel39">
    <w:name w:val="ListLabel 39"/>
    <w:qFormat/>
    <w:rPr>
      <w:rFonts w:cs="Times New Roman"/>
    </w:rPr>
  </w:style>
  <w:style w:type="character" w:styleId="ListLabel40">
    <w:name w:val="ListLabel 40"/>
    <w:qFormat/>
    <w:rPr>
      <w:rFonts w:cs="Times New Roman"/>
    </w:rPr>
  </w:style>
  <w:style w:type="character" w:styleId="ListLabel41">
    <w:name w:val="ListLabel 41"/>
    <w:qFormat/>
    <w:rPr>
      <w:rFonts w:cs="Times New Roman"/>
    </w:rPr>
  </w:style>
  <w:style w:type="character" w:styleId="ListLabel42">
    <w:name w:val="ListLabel 42"/>
    <w:qFormat/>
    <w:rPr>
      <w:rFonts w:cs="Times New Roman"/>
    </w:rPr>
  </w:style>
  <w:style w:type="character" w:styleId="ListLabel43">
    <w:name w:val="ListLabel 43"/>
    <w:qFormat/>
    <w:rPr>
      <w:rFonts w:cs="Times New Roman"/>
    </w:rPr>
  </w:style>
  <w:style w:type="character" w:styleId="ListLabel44">
    <w:name w:val="ListLabel 44"/>
    <w:qFormat/>
    <w:rPr>
      <w:rFonts w:cs="Times New Roman"/>
    </w:rPr>
  </w:style>
  <w:style w:type="character" w:styleId="ListLabel45">
    <w:name w:val="ListLabel 45"/>
    <w:qFormat/>
    <w:rPr>
      <w:rFonts w:cs="Times New Roman"/>
    </w:rPr>
  </w:style>
  <w:style w:type="character" w:styleId="ListLabel46">
    <w:name w:val="ListLabel 46"/>
    <w:qFormat/>
    <w:rPr>
      <w:rFonts w:cs="Times New Roman"/>
    </w:rPr>
  </w:style>
  <w:style w:type="character" w:styleId="ListLabel47">
    <w:name w:val="ListLabel 47"/>
    <w:qFormat/>
    <w:rPr>
      <w:rFonts w:cs="Times New Roman"/>
    </w:rPr>
  </w:style>
  <w:style w:type="character" w:styleId="ListLabel48">
    <w:name w:val="ListLabel 48"/>
    <w:qFormat/>
    <w:rPr>
      <w:rFonts w:cs="Times New Roman"/>
    </w:rPr>
  </w:style>
  <w:style w:type="character" w:styleId="ListLabel49">
    <w:name w:val="ListLabel 49"/>
    <w:qFormat/>
    <w:rPr>
      <w:rFonts w:cs="Times New Roman"/>
    </w:rPr>
  </w:style>
  <w:style w:type="character" w:styleId="ListLabel50">
    <w:name w:val="ListLabel 50"/>
    <w:qFormat/>
    <w:rPr>
      <w:rFonts w:cs="Times New Roman"/>
    </w:rPr>
  </w:style>
  <w:style w:type="character" w:styleId="ListLabel51">
    <w:name w:val="ListLabel 51"/>
    <w:qFormat/>
    <w:rPr>
      <w:rFonts w:cs="Times New Roman"/>
    </w:rPr>
  </w:style>
  <w:style w:type="character" w:styleId="ListLabel52">
    <w:name w:val="ListLabel 52"/>
    <w:qFormat/>
    <w:rPr>
      <w:rFonts w:cs="Times New Roman"/>
    </w:rPr>
  </w:style>
  <w:style w:type="character" w:styleId="ListLabel53">
    <w:name w:val="ListLabel 53"/>
    <w:qFormat/>
    <w:rPr>
      <w:rFonts w:cs="Times New Roman"/>
    </w:rPr>
  </w:style>
  <w:style w:type="character" w:styleId="ListLabel54">
    <w:name w:val="ListLabel 54"/>
    <w:qFormat/>
    <w:rPr>
      <w:rFonts w:cs="Times New Roman"/>
    </w:rPr>
  </w:style>
  <w:style w:type="character" w:styleId="ListLabel55">
    <w:name w:val="ListLabel 55"/>
    <w:qFormat/>
    <w:rPr>
      <w:rFonts w:cs="Times New Roman"/>
      <w:b/>
    </w:rPr>
  </w:style>
  <w:style w:type="character" w:styleId="ListLabel56">
    <w:name w:val="ListLabel 56"/>
    <w:qFormat/>
    <w:rPr>
      <w:rFonts w:cs="Times New Roman"/>
    </w:rPr>
  </w:style>
  <w:style w:type="character" w:styleId="ListLabel57">
    <w:name w:val="ListLabel 57"/>
    <w:qFormat/>
    <w:rPr>
      <w:rFonts w:cs="Times New Roman"/>
    </w:rPr>
  </w:style>
  <w:style w:type="character" w:styleId="ListLabel58">
    <w:name w:val="ListLabel 58"/>
    <w:qFormat/>
    <w:rPr>
      <w:rFonts w:cs="Times New Roman"/>
    </w:rPr>
  </w:style>
  <w:style w:type="character" w:styleId="ListLabel59">
    <w:name w:val="ListLabel 59"/>
    <w:qFormat/>
    <w:rPr>
      <w:rFonts w:cs="Times New Roman"/>
    </w:rPr>
  </w:style>
  <w:style w:type="character" w:styleId="ListLabel60">
    <w:name w:val="ListLabel 60"/>
    <w:qFormat/>
    <w:rPr>
      <w:rFonts w:cs="Times New Roman"/>
    </w:rPr>
  </w:style>
  <w:style w:type="character" w:styleId="ListLabel61">
    <w:name w:val="ListLabel 61"/>
    <w:qFormat/>
    <w:rPr>
      <w:rFonts w:cs="Times New Roman"/>
    </w:rPr>
  </w:style>
  <w:style w:type="character" w:styleId="ListLabel62">
    <w:name w:val="ListLabel 62"/>
    <w:qFormat/>
    <w:rPr>
      <w:rFonts w:cs="Times New Roman"/>
    </w:rPr>
  </w:style>
  <w:style w:type="character" w:styleId="ListLabel63">
    <w:name w:val="ListLabel 63"/>
    <w:qFormat/>
    <w:rPr>
      <w:rFonts w:cs="Times New Roman"/>
    </w:rPr>
  </w:style>
  <w:style w:type="character" w:styleId="ListLabel64">
    <w:name w:val="ListLabel 64"/>
    <w:qFormat/>
    <w:rPr>
      <w:rFonts w:cs="Times New Roman"/>
    </w:rPr>
  </w:style>
  <w:style w:type="character" w:styleId="ListLabel65">
    <w:name w:val="ListLabel 65"/>
    <w:qFormat/>
    <w:rPr>
      <w:rFonts w:cs="Times New Roman"/>
    </w:rPr>
  </w:style>
  <w:style w:type="character" w:styleId="ListLabel66">
    <w:name w:val="ListLabel 66"/>
    <w:qFormat/>
    <w:rPr>
      <w:rFonts w:cs="Times New Roman"/>
    </w:rPr>
  </w:style>
  <w:style w:type="character" w:styleId="ListLabel67">
    <w:name w:val="ListLabel 67"/>
    <w:qFormat/>
    <w:rPr>
      <w:rFonts w:cs="Times New Roman"/>
    </w:rPr>
  </w:style>
  <w:style w:type="character" w:styleId="ListLabel68">
    <w:name w:val="ListLabel 68"/>
    <w:qFormat/>
    <w:rPr>
      <w:rFonts w:cs="Times New Roman"/>
    </w:rPr>
  </w:style>
  <w:style w:type="character" w:styleId="ListLabel69">
    <w:name w:val="ListLabel 69"/>
    <w:qFormat/>
    <w:rPr>
      <w:rFonts w:cs="Times New Roman"/>
    </w:rPr>
  </w:style>
  <w:style w:type="character" w:styleId="ListLabel70">
    <w:name w:val="ListLabel 70"/>
    <w:qFormat/>
    <w:rPr>
      <w:rFonts w:cs="Times New Roman"/>
    </w:rPr>
  </w:style>
  <w:style w:type="character" w:styleId="ListLabel71">
    <w:name w:val="ListLabel 71"/>
    <w:qFormat/>
    <w:rPr>
      <w:rFonts w:cs="Times New Roman"/>
    </w:rPr>
  </w:style>
  <w:style w:type="character" w:styleId="ListLabel72">
    <w:name w:val="ListLabel 72"/>
    <w:qFormat/>
    <w:rPr>
      <w:rFonts w:cs="Times New Roman"/>
    </w:rPr>
  </w:style>
  <w:style w:type="character" w:styleId="ListLabel73">
    <w:name w:val="ListLabel 73"/>
    <w:qFormat/>
    <w:rPr>
      <w:rFonts w:cs="Times New Roman"/>
    </w:rPr>
  </w:style>
  <w:style w:type="character" w:styleId="ListLabel74">
    <w:name w:val="ListLabel 74"/>
    <w:qFormat/>
    <w:rPr>
      <w:rFonts w:cs="Times New Roman"/>
    </w:rPr>
  </w:style>
  <w:style w:type="character" w:styleId="ListLabel75">
    <w:name w:val="ListLabel 75"/>
    <w:qFormat/>
    <w:rPr>
      <w:rFonts w:cs="Times New Roman"/>
    </w:rPr>
  </w:style>
  <w:style w:type="character" w:styleId="ListLabel76">
    <w:name w:val="ListLabel 76"/>
    <w:qFormat/>
    <w:rPr>
      <w:rFonts w:cs="Times New Roman"/>
    </w:rPr>
  </w:style>
  <w:style w:type="character" w:styleId="ListLabel77">
    <w:name w:val="ListLabel 77"/>
    <w:qFormat/>
    <w:rPr>
      <w:rFonts w:cs="Times New Roman"/>
    </w:rPr>
  </w:style>
  <w:style w:type="character" w:styleId="ListLabel78">
    <w:name w:val="ListLabel 78"/>
    <w:qFormat/>
    <w:rPr>
      <w:rFonts w:cs="Times New Roman"/>
    </w:rPr>
  </w:style>
  <w:style w:type="character" w:styleId="ListLabel79">
    <w:name w:val="ListLabel 79"/>
    <w:qFormat/>
    <w:rPr>
      <w:rFonts w:cs="Times New Roman"/>
    </w:rPr>
  </w:style>
  <w:style w:type="character" w:styleId="ListLabel80">
    <w:name w:val="ListLabel 80"/>
    <w:qFormat/>
    <w:rPr>
      <w:rFonts w:cs="Times New Roman"/>
    </w:rPr>
  </w:style>
  <w:style w:type="character" w:styleId="ListLabel81">
    <w:name w:val="ListLabel 81"/>
    <w:qFormat/>
    <w:rPr>
      <w:rFonts w:cs="Times New Roman"/>
    </w:rPr>
  </w:style>
  <w:style w:type="character" w:styleId="ListLabel82">
    <w:name w:val="ListLabel 82"/>
    <w:qFormat/>
    <w:rPr>
      <w:rFonts w:cs="Times New Roman"/>
    </w:rPr>
  </w:style>
  <w:style w:type="character" w:styleId="ListLabel83">
    <w:name w:val="ListLabel 83"/>
    <w:qFormat/>
    <w:rPr>
      <w:rFonts w:cs="Times New Roman"/>
    </w:rPr>
  </w:style>
  <w:style w:type="character" w:styleId="ListLabel84">
    <w:name w:val="ListLabel 84"/>
    <w:qFormat/>
    <w:rPr>
      <w:rFonts w:cs="Times New Roman"/>
    </w:rPr>
  </w:style>
  <w:style w:type="character" w:styleId="ListLabel85">
    <w:name w:val="ListLabel 85"/>
    <w:qFormat/>
    <w:rPr>
      <w:rFonts w:cs="Times New Roman"/>
    </w:rPr>
  </w:style>
  <w:style w:type="character" w:styleId="ListLabel86">
    <w:name w:val="ListLabel 86"/>
    <w:qFormat/>
    <w:rPr>
      <w:rFonts w:cs="Times New Roman"/>
    </w:rPr>
  </w:style>
  <w:style w:type="character" w:styleId="ListLabel87">
    <w:name w:val="ListLabel 87"/>
    <w:qFormat/>
    <w:rPr>
      <w:rFonts w:cs="Times New Roman"/>
    </w:rPr>
  </w:style>
  <w:style w:type="character" w:styleId="ListLabel88">
    <w:name w:val="ListLabel 88"/>
    <w:qFormat/>
    <w:rPr>
      <w:rFonts w:cs="Times New Roman"/>
    </w:rPr>
  </w:style>
  <w:style w:type="character" w:styleId="ListLabel89">
    <w:name w:val="ListLabel 89"/>
    <w:qFormat/>
    <w:rPr>
      <w:rFonts w:cs="Times New Roman"/>
    </w:rPr>
  </w:style>
  <w:style w:type="character" w:styleId="ListLabel90">
    <w:name w:val="ListLabel 90"/>
    <w:qFormat/>
    <w:rPr>
      <w:rFonts w:cs="Times New Roman"/>
    </w:rPr>
  </w:style>
  <w:style w:type="character" w:styleId="ListLabel91">
    <w:name w:val="ListLabel 91"/>
    <w:qFormat/>
    <w:rPr>
      <w:rFonts w:cs="Times New Roman"/>
      <w:b/>
    </w:rPr>
  </w:style>
  <w:style w:type="character" w:styleId="ListLabel92">
    <w:name w:val="ListLabel 92"/>
    <w:qFormat/>
    <w:rPr>
      <w:rFonts w:cs="Times New Roman"/>
    </w:rPr>
  </w:style>
  <w:style w:type="character" w:styleId="ListLabel93">
    <w:name w:val="ListLabel 93"/>
    <w:qFormat/>
    <w:rPr>
      <w:rFonts w:cs="Times New Roman"/>
    </w:rPr>
  </w:style>
  <w:style w:type="character" w:styleId="ListLabel94">
    <w:name w:val="ListLabel 94"/>
    <w:qFormat/>
    <w:rPr>
      <w:rFonts w:cs="Times New Roman"/>
    </w:rPr>
  </w:style>
  <w:style w:type="character" w:styleId="ListLabel95">
    <w:name w:val="ListLabel 95"/>
    <w:qFormat/>
    <w:rPr>
      <w:rFonts w:cs="Times New Roman"/>
    </w:rPr>
  </w:style>
  <w:style w:type="character" w:styleId="ListLabel96">
    <w:name w:val="ListLabel 96"/>
    <w:qFormat/>
    <w:rPr>
      <w:rFonts w:cs="Times New Roman"/>
    </w:rPr>
  </w:style>
  <w:style w:type="character" w:styleId="ListLabel97">
    <w:name w:val="ListLabel 97"/>
    <w:qFormat/>
    <w:rPr>
      <w:rFonts w:cs="Times New Roman"/>
    </w:rPr>
  </w:style>
  <w:style w:type="character" w:styleId="ListLabel98">
    <w:name w:val="ListLabel 98"/>
    <w:qFormat/>
    <w:rPr>
      <w:rFonts w:cs="Times New Roman"/>
    </w:rPr>
  </w:style>
  <w:style w:type="character" w:styleId="ListLabel99">
    <w:name w:val="ListLabel 99"/>
    <w:qFormat/>
    <w:rPr>
      <w:rFonts w:cs="Times New Roman"/>
    </w:rPr>
  </w:style>
  <w:style w:type="character" w:styleId="ListLabel100">
    <w:name w:val="ListLabel 100"/>
    <w:qFormat/>
    <w:rPr>
      <w:rFonts w:cs="Times New Roman"/>
    </w:rPr>
  </w:style>
  <w:style w:type="character" w:styleId="ListLabel101">
    <w:name w:val="ListLabel 101"/>
    <w:qFormat/>
    <w:rPr>
      <w:rFonts w:cs="Times New Roman"/>
    </w:rPr>
  </w:style>
  <w:style w:type="character" w:styleId="ListLabel102">
    <w:name w:val="ListLabel 102"/>
    <w:qFormat/>
    <w:rPr>
      <w:rFonts w:cs="Times New Roman"/>
    </w:rPr>
  </w:style>
  <w:style w:type="character" w:styleId="ListLabel103">
    <w:name w:val="ListLabel 103"/>
    <w:qFormat/>
    <w:rPr>
      <w:rFonts w:cs="Times New Roman"/>
    </w:rPr>
  </w:style>
  <w:style w:type="character" w:styleId="ListLabel104">
    <w:name w:val="ListLabel 104"/>
    <w:qFormat/>
    <w:rPr>
      <w:rFonts w:cs="Times New Roman"/>
    </w:rPr>
  </w:style>
  <w:style w:type="character" w:styleId="ListLabel105">
    <w:name w:val="ListLabel 105"/>
    <w:qFormat/>
    <w:rPr>
      <w:rFonts w:cs="Times New Roman"/>
    </w:rPr>
  </w:style>
  <w:style w:type="character" w:styleId="ListLabel106">
    <w:name w:val="ListLabel 106"/>
    <w:qFormat/>
    <w:rPr>
      <w:rFonts w:cs="Times New Roman"/>
    </w:rPr>
  </w:style>
  <w:style w:type="character" w:styleId="ListLabel107">
    <w:name w:val="ListLabel 107"/>
    <w:qFormat/>
    <w:rPr>
      <w:rFonts w:cs="Times New Roman"/>
    </w:rPr>
  </w:style>
  <w:style w:type="character" w:styleId="ListLabel108">
    <w:name w:val="ListLabel 108"/>
    <w:qFormat/>
    <w:rPr>
      <w:rFonts w:cs="Times New Roman"/>
    </w:rPr>
  </w:style>
  <w:style w:type="character" w:styleId="ListLabel109">
    <w:name w:val="ListLabel 109"/>
    <w:qFormat/>
    <w:rPr>
      <w:rFonts w:eastAsia="Times New Roman" w:cs="Times New Roman"/>
    </w:rPr>
  </w:style>
  <w:style w:type="character" w:styleId="ListLabel110">
    <w:name w:val="ListLabel 110"/>
    <w:qFormat/>
    <w:rPr>
      <w:rFonts w:cs="Times New Roman"/>
      <w:b/>
    </w:rPr>
  </w:style>
  <w:style w:type="character" w:styleId="ListLabel111">
    <w:name w:val="ListLabel 111"/>
    <w:qFormat/>
    <w:rPr>
      <w:rFonts w:eastAsia="Times New Roman"/>
    </w:rPr>
  </w:style>
  <w:style w:type="character" w:styleId="ListLabel112">
    <w:name w:val="ListLabel 112"/>
    <w:qFormat/>
    <w:rPr>
      <w:rFonts w:cs="Times New Roman"/>
    </w:rPr>
  </w:style>
  <w:style w:type="character" w:styleId="ListLabel113">
    <w:name w:val="ListLabel 113"/>
    <w:qFormat/>
    <w:rPr>
      <w:rFonts w:cs="Times New Roman"/>
    </w:rPr>
  </w:style>
  <w:style w:type="character" w:styleId="ListLabel114">
    <w:name w:val="ListLabel 114"/>
    <w:qFormat/>
    <w:rPr>
      <w:rFonts w:cs="Times New Roman"/>
    </w:rPr>
  </w:style>
  <w:style w:type="character" w:styleId="ListLabel115">
    <w:name w:val="ListLabel 115"/>
    <w:qFormat/>
    <w:rPr>
      <w:rFonts w:cs="Times New Roman"/>
    </w:rPr>
  </w:style>
  <w:style w:type="character" w:styleId="ListLabel116">
    <w:name w:val="ListLabel 116"/>
    <w:qFormat/>
    <w:rPr>
      <w:rFonts w:cs="Times New Roman"/>
    </w:rPr>
  </w:style>
  <w:style w:type="character" w:styleId="ListLabel117">
    <w:name w:val="ListLabel 117"/>
    <w:qFormat/>
    <w:rPr>
      <w:rFonts w:cs="Times New Roman"/>
    </w:rPr>
  </w:style>
  <w:style w:type="character" w:styleId="ListLabel118">
    <w:name w:val="ListLabel 118"/>
    <w:qFormat/>
    <w:rPr>
      <w:rFonts w:cs="Times New Roman"/>
      <w:b/>
      <w:bCs/>
      <w:i w:val="false"/>
      <w:iCs w:val="false"/>
      <w:sz w:val="28"/>
      <w:szCs w:val="28"/>
      <w:u w:val="single"/>
    </w:rPr>
  </w:style>
  <w:style w:type="character" w:styleId="ListLabel119">
    <w:name w:val="ListLabel 119"/>
    <w:qFormat/>
    <w:rPr>
      <w:rFonts w:cs="Times New Roman"/>
      <w:b/>
      <w:bCs/>
      <w:i w:val="false"/>
      <w:iCs w:val="false"/>
      <w:sz w:val="28"/>
      <w:szCs w:val="28"/>
      <w:u w:val="single"/>
    </w:rPr>
  </w:style>
  <w:style w:type="character" w:styleId="ListLabel120">
    <w:name w:val="ListLabel 120"/>
    <w:qFormat/>
    <w:rPr>
      <w:rFonts w:cs="Times New Roman"/>
      <w:b/>
      <w:bCs/>
      <w:i w:val="false"/>
      <w:iCs w:val="false"/>
      <w:sz w:val="28"/>
      <w:szCs w:val="28"/>
      <w:u w:val="single"/>
    </w:rPr>
  </w:style>
  <w:style w:type="character" w:styleId="ListLabel121">
    <w:name w:val="ListLabel 121"/>
    <w:qFormat/>
    <w:rPr>
      <w:rFonts w:cs="Times New Roman"/>
      <w:b/>
      <w:bCs/>
      <w:i w:val="false"/>
      <w:iCs w:val="false"/>
      <w:sz w:val="44"/>
      <w:szCs w:val="44"/>
    </w:rPr>
  </w:style>
  <w:style w:type="character" w:styleId="ListLabel122">
    <w:name w:val="ListLabel 122"/>
    <w:qFormat/>
    <w:rPr>
      <w:rFonts w:cs="Times New Roman"/>
      <w:b/>
      <w:bCs/>
      <w:i w:val="false"/>
      <w:iCs w:val="false"/>
      <w:sz w:val="28"/>
      <w:szCs w:val="28"/>
      <w:u w:val="single"/>
    </w:rPr>
  </w:style>
  <w:style w:type="character" w:styleId="ListLabel123">
    <w:name w:val="ListLabel 123"/>
    <w:qFormat/>
    <w:rPr>
      <w:rFonts w:cs="Times New Roman"/>
      <w:b/>
      <w:bCs/>
      <w:i w:val="false"/>
      <w:iCs w:val="false"/>
      <w:sz w:val="28"/>
      <w:szCs w:val="28"/>
      <w:u w:val="single"/>
    </w:rPr>
  </w:style>
  <w:style w:type="character" w:styleId="ListLabel124">
    <w:name w:val="ListLabel 124"/>
    <w:qFormat/>
    <w:rPr>
      <w:rFonts w:cs="Times New Roman"/>
      <w:b/>
      <w:bCs/>
      <w:i w:val="false"/>
      <w:iCs w:val="false"/>
      <w:sz w:val="28"/>
      <w:szCs w:val="28"/>
      <w:u w:val="single"/>
    </w:rPr>
  </w:style>
  <w:style w:type="character" w:styleId="ListLabel125">
    <w:name w:val="ListLabel 125"/>
    <w:qFormat/>
    <w:rPr>
      <w:rFonts w:cs="Times New Roman"/>
      <w:b/>
      <w:bCs/>
      <w:i w:val="false"/>
      <w:iCs w:val="false"/>
      <w:sz w:val="28"/>
      <w:szCs w:val="28"/>
      <w:u w:val="single"/>
    </w:rPr>
  </w:style>
  <w:style w:type="character" w:styleId="ListLabel126">
    <w:name w:val="ListLabel 126"/>
    <w:qFormat/>
    <w:rPr>
      <w:rFonts w:cs="Times New Roman"/>
      <w:b/>
      <w:bCs/>
      <w:i w:val="false"/>
      <w:iCs w:val="false"/>
      <w:sz w:val="28"/>
      <w:szCs w:val="28"/>
      <w:u w:val="single"/>
    </w:rPr>
  </w:style>
  <w:style w:type="character" w:styleId="ListLabel127">
    <w:name w:val="ListLabel 127"/>
    <w:qFormat/>
    <w:rPr>
      <w:rFonts w:cs="Times New Roman"/>
      <w:b/>
      <w:bCs/>
      <w:i w:val="false"/>
      <w:iCs w:val="false"/>
      <w:sz w:val="28"/>
      <w:szCs w:val="28"/>
      <w:u w:val="single"/>
    </w:rPr>
  </w:style>
  <w:style w:type="character" w:styleId="ListLabel128">
    <w:name w:val="ListLabel 128"/>
    <w:qFormat/>
    <w:rPr>
      <w:rFonts w:cs="Times New Roman"/>
      <w:b/>
      <w:bCs/>
      <w:i w:val="false"/>
      <w:iCs w:val="false"/>
      <w:sz w:val="28"/>
      <w:szCs w:val="28"/>
      <w:u w:val="single"/>
    </w:rPr>
  </w:style>
  <w:style w:type="character" w:styleId="ListLabel129">
    <w:name w:val="ListLabel 129"/>
    <w:qFormat/>
    <w:rPr>
      <w:rFonts w:cs="Times New Roman"/>
      <w:b/>
      <w:bCs/>
      <w:i w:val="false"/>
      <w:iCs w:val="false"/>
      <w:sz w:val="28"/>
      <w:szCs w:val="28"/>
      <w:u w:val="single"/>
    </w:rPr>
  </w:style>
  <w:style w:type="character" w:styleId="ListLabel130">
    <w:name w:val="ListLabel 130"/>
    <w:qFormat/>
    <w:rPr>
      <w:rFonts w:cs="Times New Roman"/>
    </w:rPr>
  </w:style>
  <w:style w:type="character" w:styleId="ListLabel131">
    <w:name w:val="ListLabel 131"/>
    <w:qFormat/>
    <w:rPr>
      <w:rFonts w:cs="Times New Roman"/>
    </w:rPr>
  </w:style>
  <w:style w:type="character" w:styleId="ListLabel132">
    <w:name w:val="ListLabel 132"/>
    <w:qFormat/>
    <w:rPr>
      <w:rFonts w:cs="Times New Roman"/>
    </w:rPr>
  </w:style>
  <w:style w:type="character" w:styleId="ListLabel133">
    <w:name w:val="ListLabel 133"/>
    <w:qFormat/>
    <w:rPr>
      <w:rFonts w:cs="Times New Roman"/>
    </w:rPr>
  </w:style>
  <w:style w:type="character" w:styleId="ListLabel134">
    <w:name w:val="ListLabel 134"/>
    <w:qFormat/>
    <w:rPr>
      <w:rFonts w:cs="Times New Roman"/>
    </w:rPr>
  </w:style>
  <w:style w:type="character" w:styleId="ListLabel135">
    <w:name w:val="ListLabel 135"/>
    <w:qFormat/>
    <w:rPr>
      <w:rFonts w:cs="Times New Roman"/>
    </w:rPr>
  </w:style>
  <w:style w:type="character" w:styleId="ListLabel136">
    <w:name w:val="ListLabel 136"/>
    <w:qFormat/>
    <w:rPr>
      <w:rFonts w:cs="Times New Roman"/>
    </w:rPr>
  </w:style>
  <w:style w:type="character" w:styleId="ListLabel137">
    <w:name w:val="ListLabel 137"/>
    <w:qFormat/>
    <w:rPr>
      <w:rFonts w:cs="Times New Roman"/>
    </w:rPr>
  </w:style>
  <w:style w:type="character" w:styleId="ListLabel138">
    <w:name w:val="ListLabel 138"/>
    <w:qFormat/>
    <w:rPr>
      <w:rFonts w:cs="Times New Roman"/>
    </w:rPr>
  </w:style>
  <w:style w:type="character" w:styleId="ListLabel139">
    <w:name w:val="ListLabel 139"/>
    <w:qFormat/>
    <w:rPr>
      <w:b/>
    </w:rPr>
  </w:style>
  <w:style w:type="character" w:styleId="ListLabel140">
    <w:name w:val="ListLabel 140"/>
    <w:qFormat/>
    <w:rPr>
      <w:rFonts w:ascii="Arial Narrow" w:hAnsi="Arial Narrow" w:eastAsia="Times New Roman" w:cs="Times New Roman"/>
      <w:b/>
    </w:rPr>
  </w:style>
  <w:style w:type="character" w:styleId="ListLabel141">
    <w:name w:val="ListLabel 141"/>
    <w:qFormat/>
    <w:rPr>
      <w:rFonts w:cs="Courier New"/>
    </w:rPr>
  </w:style>
  <w:style w:type="character" w:styleId="ListLabel142">
    <w:name w:val="ListLabel 142"/>
    <w:qFormat/>
    <w:rPr>
      <w:rFonts w:cs="Courier New"/>
    </w:rPr>
  </w:style>
  <w:style w:type="character" w:styleId="ListLabel143">
    <w:name w:val="ListLabel 143"/>
    <w:qFormat/>
    <w:rPr>
      <w:rFonts w:cs="Courier New"/>
    </w:rPr>
  </w:style>
  <w:style w:type="character" w:styleId="ListLabel144">
    <w:name w:val="ListLabel 144"/>
    <w:qFormat/>
    <w:rPr>
      <w:rFonts w:eastAsia="Times New Roman" w:cs="Times New Roman"/>
    </w:rPr>
  </w:style>
  <w:style w:type="character" w:styleId="ListLabel145">
    <w:name w:val="ListLabel 145"/>
    <w:qFormat/>
    <w:rPr>
      <w:rFonts w:cs="Courier New"/>
    </w:rPr>
  </w:style>
  <w:style w:type="character" w:styleId="ListLabel146">
    <w:name w:val="ListLabel 146"/>
    <w:qFormat/>
    <w:rPr>
      <w:rFonts w:cs="Courier New"/>
    </w:rPr>
  </w:style>
  <w:style w:type="character" w:styleId="ListLabel147">
    <w:name w:val="ListLabel 147"/>
    <w:qFormat/>
    <w:rPr>
      <w:rFonts w:cs="Courier New"/>
    </w:rPr>
  </w:style>
  <w:style w:type="character" w:styleId="ListLabel148">
    <w:name w:val="ListLabel 148"/>
    <w:qFormat/>
    <w:rPr>
      <w:rFonts w:eastAsia="Times New Roman" w:cs="Times New Roman"/>
    </w:rPr>
  </w:style>
  <w:style w:type="character" w:styleId="ListLabel149">
    <w:name w:val="ListLabel 149"/>
    <w:qFormat/>
    <w:rPr>
      <w:rFonts w:eastAsia="Times New Roman" w:cs="Times New Roman"/>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link w:val="ZkladntextChar"/>
    <w:uiPriority w:val="99"/>
    <w:rsid w:val="00cd08d1"/>
    <w:pPr>
      <w:spacing w:before="0" w:after="12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BodyText2">
    <w:name w:val="Body Text 2"/>
    <w:basedOn w:val="Normal"/>
    <w:link w:val="Zkladntext2Char"/>
    <w:uiPriority w:val="99"/>
    <w:qFormat/>
    <w:rsid w:val="00cd08d1"/>
    <w:pPr>
      <w:jc w:val="both"/>
    </w:pPr>
    <w:rPr/>
  </w:style>
  <w:style w:type="paragraph" w:styleId="BodyText3">
    <w:name w:val="Body Text 3"/>
    <w:basedOn w:val="Normal"/>
    <w:link w:val="Zkladntext3Char"/>
    <w:uiPriority w:val="99"/>
    <w:qFormat/>
    <w:rsid w:val="00cd08d1"/>
    <w:pPr>
      <w:spacing w:before="0" w:after="120"/>
    </w:pPr>
    <w:rPr>
      <w:sz w:val="16"/>
      <w:szCs w:val="16"/>
    </w:rPr>
  </w:style>
  <w:style w:type="paragraph" w:styleId="Header">
    <w:name w:val="Header"/>
    <w:basedOn w:val="Normal"/>
    <w:link w:val="HlavikaChar"/>
    <w:uiPriority w:val="99"/>
    <w:rsid w:val="0020057e"/>
    <w:pPr>
      <w:tabs>
        <w:tab w:val="center" w:pos="4536" w:leader="none"/>
        <w:tab w:val="right" w:pos="9072" w:leader="none"/>
      </w:tabs>
    </w:pPr>
    <w:rPr/>
  </w:style>
  <w:style w:type="paragraph" w:styleId="Footer">
    <w:name w:val="Footer"/>
    <w:basedOn w:val="Normal"/>
    <w:link w:val="PtaChar"/>
    <w:rsid w:val="0020057e"/>
    <w:pPr>
      <w:tabs>
        <w:tab w:val="center" w:pos="4536" w:leader="none"/>
        <w:tab w:val="right" w:pos="9072" w:leader="none"/>
      </w:tabs>
    </w:pPr>
    <w:rPr/>
  </w:style>
  <w:style w:type="paragraph" w:styleId="BalloonText">
    <w:name w:val="Balloon Text"/>
    <w:basedOn w:val="Normal"/>
    <w:link w:val="TextbublinyChar"/>
    <w:uiPriority w:val="99"/>
    <w:semiHidden/>
    <w:qFormat/>
    <w:rsid w:val="0020057e"/>
    <w:pPr/>
    <w:rPr>
      <w:rFonts w:ascii="Tahoma" w:hAnsi="Tahoma" w:cs="Tahoma"/>
      <w:sz w:val="16"/>
      <w:szCs w:val="16"/>
    </w:rPr>
  </w:style>
  <w:style w:type="paragraph" w:styleId="ListParagraph">
    <w:name w:val="List Paragraph"/>
    <w:basedOn w:val="Normal"/>
    <w:link w:val="OdsekzoznamuChar"/>
    <w:uiPriority w:val="34"/>
    <w:qFormat/>
    <w:rsid w:val="00b841bd"/>
    <w:pPr>
      <w:spacing w:before="0" w:after="0"/>
      <w:ind w:left="720" w:hanging="0"/>
      <w:contextualSpacing/>
    </w:pPr>
    <w:rPr/>
  </w:style>
  <w:style w:type="paragraph" w:styleId="TextBodyIndent">
    <w:name w:val="Body Text Indent"/>
    <w:basedOn w:val="Normal"/>
    <w:link w:val="ZarkazkladnhotextuChar"/>
    <w:uiPriority w:val="99"/>
    <w:rsid w:val="008d46d7"/>
    <w:pPr>
      <w:spacing w:before="0" w:after="120"/>
      <w:ind w:left="283" w:hanging="0"/>
    </w:pPr>
    <w:rPr/>
  </w:style>
  <w:style w:type="paragraph" w:styleId="Zkladntext" w:customStyle="1">
    <w:name w:val="Základní text"/>
    <w:qFormat/>
    <w:rsid w:val="00595ecc"/>
    <w:pPr>
      <w:widowControl/>
      <w:bidi w:val="0"/>
      <w:snapToGrid w:val="false"/>
      <w:jc w:val="left"/>
    </w:pPr>
    <w:rPr>
      <w:rFonts w:ascii="Tms Rmn" w:hAnsi="Tms Rmn" w:eastAsia="Times New Roman" w:cs="Times New Roman"/>
      <w:color w:val="000000"/>
      <w:kern w:val="0"/>
      <w:sz w:val="24"/>
      <w:szCs w:val="20"/>
      <w:lang w:val="sk-SK" w:eastAsia="sk-SK" w:bidi="ar-SA"/>
    </w:rPr>
  </w:style>
  <w:style w:type="paragraph" w:styleId="NoSpacing">
    <w:name w:val="No Spacing"/>
    <w:uiPriority w:val="99"/>
    <w:qFormat/>
    <w:rsid w:val="007f4733"/>
    <w:pPr>
      <w:widowControl/>
      <w:bidi w:val="0"/>
      <w:jc w:val="left"/>
    </w:pPr>
    <w:rPr>
      <w:rFonts w:eastAsia="Times New Roman" w:cs="Calibri" w:ascii="Calibri" w:hAnsi="Calibri"/>
      <w:color w:val="auto"/>
      <w:kern w:val="0"/>
      <w:sz w:val="24"/>
      <w:szCs w:val="22"/>
      <w:lang w:eastAsia="en-US" w:val="sk-SK" w:bidi="ar-SA"/>
    </w:rPr>
  </w:style>
  <w:style w:type="paragraph" w:styleId="Default" w:customStyle="1">
    <w:name w:val="Default"/>
    <w:qFormat/>
    <w:rsid w:val="00bf5982"/>
    <w:pPr>
      <w:widowControl/>
      <w:bidi w:val="0"/>
      <w:jc w:val="left"/>
    </w:pPr>
    <w:rPr>
      <w:rFonts w:eastAsia="Calibri" w:cs="Calibri" w:eastAsiaTheme="minorHAnsi" w:ascii="Calibri" w:hAnsi="Calibri"/>
      <w:color w:val="000000"/>
      <w:kern w:val="0"/>
      <w:sz w:val="24"/>
      <w:szCs w:val="24"/>
      <w:lang w:eastAsia="en-US" w:val="sk-SK" w:bidi="ar-SA"/>
    </w:rPr>
  </w:style>
  <w:style w:type="paragraph" w:styleId="Title">
    <w:name w:val="Title"/>
    <w:basedOn w:val="Normal"/>
    <w:link w:val="NzovChar"/>
    <w:qFormat/>
    <w:locked/>
    <w:rsid w:val="00250ca3"/>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TableParagraph" w:customStyle="1">
    <w:name w:val="Table Paragraph"/>
    <w:basedOn w:val="Normal"/>
    <w:uiPriority w:val="1"/>
    <w:qFormat/>
    <w:rsid w:val="00d86c6a"/>
    <w:pPr>
      <w:widowControl w:val="false"/>
      <w:ind w:left="105" w:hanging="0"/>
    </w:pPr>
    <w:rPr>
      <w:sz w:val="22"/>
      <w:szCs w:val="22"/>
      <w:lang w:val="en-US" w:eastAsia="en-US"/>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d86c6a"/>
    <w:rPr>
      <w:rFonts w:asciiTheme="minorHAnsi" w:hAnsiTheme="minorHAnsi" w:eastAsiaTheme="minorHAnsi" w:cstheme="minorBidi"/>
      <w:lang w:val="en-US" w:eastAsia="en-US"/>
    </w:rPr>
    <w:tblPr>
      <w:tblInd w:w="0" w:type="dxa"/>
      <w:tblCellMar>
        <w:top w:w="0" w:type="dxa"/>
        <w:left w:w="0" w:type="dxa"/>
        <w:bottom w:w="0" w:type="dxa"/>
        <w:right w:w="0" w:type="dxa"/>
      </w:tblCellMar>
    </w:tblPr>
  </w:style>
  <w:style w:type="table" w:styleId="Mriekatabuky">
    <w:name w:val="Table Grid"/>
    <w:basedOn w:val="Normlnatabuka"/>
    <w:rsid w:val="0043323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88474-08D0-4DF7-8E6D-2D2A3189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Application>LibreOffice/6.0.3.2$Windows_X86_64 LibreOffice_project/8f48d515416608e3a835360314dac7e47fd0b821</Application>
  <Pages>6</Pages>
  <Words>1692</Words>
  <Characters>10661</Characters>
  <CharactersWithSpaces>12329</CharactersWithSpaces>
  <Paragraphs>24</Paragraphs>
  <Company>OU Kráľova Lehota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2020-02-18T06:56:00Z</dcterms:created>
  <dc:creator>Danka</dc:creator>
  <dc:description/>
  <dc:language>sk-SK</dc:language>
  <cp:lastModifiedBy/>
  <cp:lastPrinted>2020-04-07T11:53:00Z</cp:lastPrinted>
  <dcterms:modified xsi:type="dcterms:W3CDTF">2020-04-09T10:10:31Z</dcterms:modified>
  <cp:revision>12</cp:revision>
  <dc:subject/>
  <dc:title>Výzva na predloženie cenovej ponuky</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OU Kráľova Lehota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